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D4480" w14:textId="77777777" w:rsidR="0083598E" w:rsidRDefault="00A5400A" w:rsidP="007766E6">
      <w:pPr>
        <w:snapToGrid w:val="0"/>
        <w:spacing w:line="580" w:lineRule="exact"/>
        <w:rPr>
          <w:rFonts w:ascii="黑体" w:eastAsia="黑体" w:hAnsi="黑体" w:cs="宋体"/>
          <w:bCs/>
          <w:kern w:val="0"/>
          <w:sz w:val="32"/>
          <w:szCs w:val="32"/>
        </w:rPr>
      </w:pPr>
      <w:r>
        <w:rPr>
          <w:rFonts w:ascii="黑体" w:eastAsia="黑体" w:hAnsi="黑体" w:cs="宋体" w:hint="eastAsia"/>
          <w:bCs/>
          <w:kern w:val="0"/>
          <w:sz w:val="32"/>
          <w:szCs w:val="32"/>
        </w:rPr>
        <w:t>附件1</w:t>
      </w:r>
    </w:p>
    <w:p w14:paraId="1A6998D3" w14:textId="77777777" w:rsidR="0083598E" w:rsidRDefault="00A5400A" w:rsidP="007766E6">
      <w:pPr>
        <w:snapToGrid w:val="0"/>
        <w:spacing w:line="580" w:lineRule="exact"/>
        <w:jc w:val="center"/>
        <w:rPr>
          <w:rFonts w:ascii="方正小标宋_GBK" w:eastAsia="方正小标宋_GBK" w:hAnsi="宋体" w:cs="宋体"/>
          <w:bCs/>
          <w:kern w:val="0"/>
          <w:sz w:val="36"/>
          <w:szCs w:val="36"/>
        </w:rPr>
      </w:pPr>
      <w:r>
        <w:rPr>
          <w:rFonts w:ascii="方正小标宋_GBK" w:eastAsia="方正小标宋_GBK" w:hAnsi="宋体" w:cs="宋体" w:hint="eastAsia"/>
          <w:bCs/>
          <w:kern w:val="0"/>
          <w:sz w:val="36"/>
          <w:szCs w:val="36"/>
        </w:rPr>
        <w:t>中国农学会教育教学类第十批科研课题指南</w:t>
      </w:r>
    </w:p>
    <w:p w14:paraId="6018A493" w14:textId="77777777" w:rsidR="0083598E" w:rsidRDefault="0083598E" w:rsidP="007766E6">
      <w:pPr>
        <w:adjustRightInd w:val="0"/>
        <w:snapToGrid w:val="0"/>
        <w:spacing w:line="580" w:lineRule="exact"/>
        <w:rPr>
          <w:rFonts w:ascii="仿宋_GB2312" w:eastAsia="仿宋_GB2312" w:hAnsi="宋体" w:cs="宋体"/>
          <w:b/>
          <w:kern w:val="0"/>
          <w:sz w:val="24"/>
          <w:szCs w:val="24"/>
        </w:rPr>
      </w:pPr>
    </w:p>
    <w:p w14:paraId="2C6E9802"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w:t>
      </w:r>
      <w:r>
        <w:rPr>
          <w:rFonts w:ascii="Times New Roman" w:eastAsia="仿宋_GB2312" w:hAnsi="Times New Roman" w:cs="Times New Roman"/>
          <w:bCs/>
          <w:kern w:val="0"/>
          <w:sz w:val="32"/>
          <w:szCs w:val="32"/>
        </w:rPr>
        <w:t>产教融合视域下农林院校创新创业教育一体化教学体系改革与实践研究；</w:t>
      </w:r>
    </w:p>
    <w:p w14:paraId="29CA6131"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2.</w:t>
      </w:r>
      <w:r>
        <w:rPr>
          <w:rFonts w:ascii="Times New Roman" w:eastAsia="仿宋_GB2312" w:hAnsi="Times New Roman" w:cs="Times New Roman"/>
          <w:bCs/>
          <w:kern w:val="0"/>
          <w:sz w:val="32"/>
          <w:szCs w:val="32"/>
        </w:rPr>
        <w:t>新质生产力导向下新农科人才供需错配及破解路径研究；</w:t>
      </w:r>
    </w:p>
    <w:p w14:paraId="53FF4DD2"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3.</w:t>
      </w:r>
      <w:r>
        <w:rPr>
          <w:rFonts w:ascii="Times New Roman" w:eastAsia="仿宋_GB2312" w:hAnsi="Times New Roman" w:cs="Times New Roman"/>
          <w:bCs/>
          <w:kern w:val="0"/>
          <w:sz w:val="32"/>
          <w:szCs w:val="32"/>
        </w:rPr>
        <w:t>现代农业产教融合共同体运行动力因子与协同机制的探索与实践；</w:t>
      </w:r>
    </w:p>
    <w:p w14:paraId="045953E6"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4.</w:t>
      </w:r>
      <w:r>
        <w:rPr>
          <w:rFonts w:ascii="Times New Roman" w:eastAsia="仿宋_GB2312" w:hAnsi="Times New Roman" w:cs="Times New Roman"/>
          <w:bCs/>
          <w:kern w:val="0"/>
          <w:sz w:val="32"/>
          <w:szCs w:val="32"/>
        </w:rPr>
        <w:t>基于教育、科技、人才一体化的农林院校创新人才培养模式研究；</w:t>
      </w:r>
    </w:p>
    <w:p w14:paraId="71F45387"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5.</w:t>
      </w:r>
      <w:r>
        <w:rPr>
          <w:rFonts w:ascii="Times New Roman" w:eastAsia="仿宋_GB2312" w:hAnsi="Times New Roman" w:cs="Times New Roman"/>
          <w:bCs/>
          <w:kern w:val="0"/>
          <w:sz w:val="32"/>
          <w:szCs w:val="32"/>
        </w:rPr>
        <w:t>数字化转型背景下农林院校人才培养模式研究与实践；</w:t>
      </w:r>
    </w:p>
    <w:p w14:paraId="45354BFE"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6.</w:t>
      </w:r>
      <w:r>
        <w:rPr>
          <w:rFonts w:ascii="Times New Roman" w:eastAsia="仿宋_GB2312" w:hAnsi="Times New Roman" w:cs="Times New Roman"/>
          <w:bCs/>
          <w:kern w:val="0"/>
          <w:sz w:val="32"/>
          <w:szCs w:val="32"/>
        </w:rPr>
        <w:t>农林院校产教融合、科教</w:t>
      </w:r>
      <w:proofErr w:type="gramStart"/>
      <w:r>
        <w:rPr>
          <w:rFonts w:ascii="Times New Roman" w:eastAsia="仿宋_GB2312" w:hAnsi="Times New Roman" w:cs="Times New Roman"/>
          <w:bCs/>
          <w:kern w:val="0"/>
          <w:sz w:val="32"/>
          <w:szCs w:val="32"/>
        </w:rPr>
        <w:t>融汇</w:t>
      </w:r>
      <w:proofErr w:type="gramEnd"/>
      <w:r>
        <w:rPr>
          <w:rFonts w:ascii="Times New Roman" w:eastAsia="仿宋_GB2312" w:hAnsi="Times New Roman" w:cs="Times New Roman"/>
          <w:bCs/>
          <w:kern w:val="0"/>
          <w:sz w:val="32"/>
          <w:szCs w:val="32"/>
        </w:rPr>
        <w:t>育人机制研究；</w:t>
      </w:r>
    </w:p>
    <w:p w14:paraId="28B1231F"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7.</w:t>
      </w:r>
      <w:r>
        <w:rPr>
          <w:rFonts w:ascii="Times New Roman" w:eastAsia="仿宋_GB2312" w:hAnsi="Times New Roman" w:cs="Times New Roman"/>
          <w:bCs/>
          <w:kern w:val="0"/>
          <w:sz w:val="32"/>
          <w:szCs w:val="32"/>
        </w:rPr>
        <w:t>农林院校拔尖创新人才自主培养模式的研究与实践；</w:t>
      </w:r>
    </w:p>
    <w:p w14:paraId="2E9D198E"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8.</w:t>
      </w:r>
      <w:r>
        <w:rPr>
          <w:rFonts w:ascii="Times New Roman" w:eastAsia="仿宋_GB2312" w:hAnsi="Times New Roman" w:cs="Times New Roman"/>
          <w:bCs/>
          <w:kern w:val="0"/>
          <w:sz w:val="32"/>
          <w:szCs w:val="32"/>
        </w:rPr>
        <w:t>高等教育赋能农业新质生产力的人才培养模式改革研究；</w:t>
      </w:r>
    </w:p>
    <w:p w14:paraId="5BEA2664"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9.</w:t>
      </w:r>
      <w:r>
        <w:rPr>
          <w:rFonts w:ascii="Times New Roman" w:eastAsia="仿宋_GB2312" w:hAnsi="Times New Roman" w:cs="Times New Roman"/>
          <w:bCs/>
          <w:kern w:val="0"/>
          <w:sz w:val="32"/>
          <w:szCs w:val="32"/>
        </w:rPr>
        <w:t>农业强国建设背景下农林院校拔尖创新人才贯通式培养研究；</w:t>
      </w:r>
    </w:p>
    <w:p w14:paraId="40CFA0F2"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10.</w:t>
      </w:r>
      <w:r>
        <w:rPr>
          <w:rFonts w:ascii="Times New Roman" w:eastAsia="仿宋_GB2312" w:hAnsi="Times New Roman" w:cs="Times New Roman"/>
          <w:bCs/>
          <w:kern w:val="0"/>
          <w:sz w:val="32"/>
          <w:szCs w:val="32"/>
        </w:rPr>
        <w:t>农林职业院校职业教育</w:t>
      </w:r>
      <w:r>
        <w:rPr>
          <w:rFonts w:ascii="Times New Roman" w:eastAsia="仿宋_GB2312" w:hAnsi="Times New Roman" w:cs="Times New Roman"/>
          <w:bCs/>
          <w:kern w:val="0"/>
          <w:sz w:val="32"/>
          <w:szCs w:val="32"/>
        </w:rPr>
        <w:t>“</w:t>
      </w:r>
      <w:r>
        <w:rPr>
          <w:rFonts w:ascii="Times New Roman" w:eastAsia="仿宋_GB2312" w:hAnsi="Times New Roman" w:cs="Times New Roman"/>
          <w:bCs/>
          <w:kern w:val="0"/>
          <w:sz w:val="32"/>
          <w:szCs w:val="32"/>
        </w:rPr>
        <w:t>新双高</w:t>
      </w:r>
      <w:r>
        <w:rPr>
          <w:rFonts w:ascii="Times New Roman" w:eastAsia="仿宋_GB2312" w:hAnsi="Times New Roman" w:cs="Times New Roman"/>
          <w:bCs/>
          <w:kern w:val="0"/>
          <w:sz w:val="32"/>
          <w:szCs w:val="32"/>
        </w:rPr>
        <w:t>”</w:t>
      </w:r>
      <w:r>
        <w:rPr>
          <w:rFonts w:ascii="Times New Roman" w:eastAsia="仿宋_GB2312" w:hAnsi="Times New Roman" w:cs="Times New Roman"/>
          <w:bCs/>
          <w:kern w:val="0"/>
          <w:sz w:val="32"/>
          <w:szCs w:val="32"/>
        </w:rPr>
        <w:t>改革研究；</w:t>
      </w:r>
    </w:p>
    <w:p w14:paraId="785E3CDA"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11.</w:t>
      </w:r>
      <w:r>
        <w:rPr>
          <w:rFonts w:ascii="Times New Roman" w:eastAsia="仿宋_GB2312" w:hAnsi="Times New Roman" w:cs="Times New Roman"/>
          <w:bCs/>
          <w:kern w:val="0"/>
          <w:sz w:val="32"/>
          <w:szCs w:val="32"/>
        </w:rPr>
        <w:t>基于人工智能技术的农林院校教学模式创新研究；</w:t>
      </w:r>
    </w:p>
    <w:p w14:paraId="52516856"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12.</w:t>
      </w:r>
      <w:r>
        <w:rPr>
          <w:rFonts w:ascii="Times New Roman" w:eastAsia="仿宋_GB2312" w:hAnsi="Times New Roman" w:cs="Times New Roman"/>
          <w:bCs/>
          <w:kern w:val="0"/>
          <w:sz w:val="32"/>
          <w:szCs w:val="32"/>
        </w:rPr>
        <w:t>农林院校拔尖创新人才培养与农业强国建设需要适配机制研究；</w:t>
      </w:r>
    </w:p>
    <w:p w14:paraId="181C8FE0"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13.</w:t>
      </w:r>
      <w:r>
        <w:rPr>
          <w:rFonts w:ascii="Times New Roman" w:eastAsia="仿宋_GB2312" w:hAnsi="Times New Roman" w:cs="Times New Roman"/>
          <w:bCs/>
          <w:kern w:val="0"/>
          <w:sz w:val="32"/>
          <w:szCs w:val="32"/>
        </w:rPr>
        <w:t>教育科技人才一体发展视域下农林院校产教融合新机制研究；</w:t>
      </w:r>
    </w:p>
    <w:p w14:paraId="1AC835AE"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14.</w:t>
      </w:r>
      <w:r>
        <w:rPr>
          <w:rFonts w:ascii="Times New Roman" w:eastAsia="仿宋_GB2312" w:hAnsi="Times New Roman" w:cs="Times New Roman"/>
          <w:bCs/>
          <w:kern w:val="0"/>
          <w:sz w:val="32"/>
          <w:szCs w:val="32"/>
        </w:rPr>
        <w:t>农林职业技术教育促进农民共同富裕的实践路径研究；</w:t>
      </w:r>
    </w:p>
    <w:p w14:paraId="0DC01B9F"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15.</w:t>
      </w:r>
      <w:r>
        <w:rPr>
          <w:rFonts w:ascii="Times New Roman" w:eastAsia="仿宋_GB2312" w:hAnsi="Times New Roman" w:cs="Times New Roman"/>
          <w:bCs/>
          <w:kern w:val="0"/>
          <w:sz w:val="32"/>
          <w:szCs w:val="32"/>
        </w:rPr>
        <w:t>乡村振兴背景下农林院校毕业生基层就业引导机制与高</w:t>
      </w:r>
      <w:r>
        <w:rPr>
          <w:rFonts w:ascii="Times New Roman" w:eastAsia="仿宋_GB2312" w:hAnsi="Times New Roman" w:cs="Times New Roman"/>
          <w:bCs/>
          <w:kern w:val="0"/>
          <w:sz w:val="32"/>
          <w:szCs w:val="32"/>
        </w:rPr>
        <w:lastRenderedPageBreak/>
        <w:t>质量就业研究；</w:t>
      </w:r>
    </w:p>
    <w:p w14:paraId="1DF05A36"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16.</w:t>
      </w:r>
      <w:r>
        <w:rPr>
          <w:rFonts w:ascii="Times New Roman" w:eastAsia="仿宋_GB2312" w:hAnsi="Times New Roman" w:cs="Times New Roman"/>
          <w:bCs/>
          <w:kern w:val="0"/>
          <w:sz w:val="32"/>
          <w:szCs w:val="32"/>
        </w:rPr>
        <w:t>农业强国视域下农林</w:t>
      </w:r>
      <w:proofErr w:type="gramStart"/>
      <w:r>
        <w:rPr>
          <w:rFonts w:ascii="Times New Roman" w:eastAsia="仿宋_GB2312" w:hAnsi="Times New Roman" w:cs="Times New Roman"/>
          <w:bCs/>
          <w:kern w:val="0"/>
          <w:sz w:val="32"/>
          <w:szCs w:val="32"/>
        </w:rPr>
        <w:t>教育职普融通</w:t>
      </w:r>
      <w:proofErr w:type="gramEnd"/>
      <w:r>
        <w:rPr>
          <w:rFonts w:ascii="Times New Roman" w:eastAsia="仿宋_GB2312" w:hAnsi="Times New Roman" w:cs="Times New Roman"/>
          <w:bCs/>
          <w:kern w:val="0"/>
          <w:sz w:val="32"/>
          <w:szCs w:val="32"/>
        </w:rPr>
        <w:t>的运行机制与实践策略研究；</w:t>
      </w:r>
    </w:p>
    <w:p w14:paraId="28C18CFB"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17.</w:t>
      </w:r>
      <w:r>
        <w:rPr>
          <w:rFonts w:ascii="Times New Roman" w:eastAsia="仿宋_GB2312" w:hAnsi="Times New Roman" w:cs="Times New Roman"/>
          <w:bCs/>
          <w:kern w:val="0"/>
          <w:sz w:val="32"/>
          <w:szCs w:val="32"/>
        </w:rPr>
        <w:t>新农科背景下农林院校学科交叉组织的制度创新研究；</w:t>
      </w:r>
    </w:p>
    <w:p w14:paraId="244A37FA"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18.</w:t>
      </w:r>
      <w:r>
        <w:rPr>
          <w:rFonts w:ascii="Times New Roman" w:eastAsia="仿宋_GB2312" w:hAnsi="Times New Roman" w:cs="Times New Roman"/>
          <w:bCs/>
          <w:kern w:val="0"/>
          <w:sz w:val="32"/>
          <w:szCs w:val="32"/>
        </w:rPr>
        <w:t>农业新质生产力视域下高素质农民数字技能培育策略路径研究；</w:t>
      </w:r>
    </w:p>
    <w:p w14:paraId="4E522D8A" w14:textId="77777777" w:rsidR="0083598E" w:rsidRDefault="00A5400A" w:rsidP="007766E6">
      <w:pPr>
        <w:adjustRightInd w:val="0"/>
        <w:snapToGrid w:val="0"/>
        <w:spacing w:line="58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19.</w:t>
      </w:r>
      <w:r>
        <w:rPr>
          <w:rFonts w:ascii="Times New Roman" w:eastAsia="仿宋_GB2312" w:hAnsi="Times New Roman" w:cs="Times New Roman"/>
          <w:bCs/>
          <w:kern w:val="0"/>
          <w:sz w:val="32"/>
          <w:szCs w:val="32"/>
        </w:rPr>
        <w:t>农林院校科技创新和区域现代农业产业创新深度融合策略研究；</w:t>
      </w:r>
    </w:p>
    <w:p w14:paraId="46DDFBEA" w14:textId="21588E55" w:rsidR="0083598E" w:rsidRPr="00700C24" w:rsidRDefault="00A5400A" w:rsidP="00700C24">
      <w:pPr>
        <w:adjustRightInd w:val="0"/>
        <w:snapToGrid w:val="0"/>
        <w:spacing w:line="580" w:lineRule="exact"/>
        <w:rPr>
          <w:rFonts w:ascii="宋体" w:eastAsia="宋体" w:hAnsi="宋体" w:cs="Times New Roman" w:hint="eastAsia"/>
          <w:sz w:val="28"/>
          <w:szCs w:val="28"/>
        </w:rPr>
      </w:pPr>
      <w:r>
        <w:rPr>
          <w:rFonts w:ascii="Times New Roman" w:eastAsia="仿宋_GB2312" w:hAnsi="Times New Roman" w:cs="Times New Roman"/>
          <w:bCs/>
          <w:kern w:val="0"/>
          <w:sz w:val="32"/>
          <w:szCs w:val="32"/>
        </w:rPr>
        <w:t>20.</w:t>
      </w:r>
      <w:r>
        <w:rPr>
          <w:rFonts w:ascii="Times New Roman" w:eastAsia="仿宋_GB2312" w:hAnsi="Times New Roman" w:cs="Times New Roman"/>
          <w:bCs/>
          <w:kern w:val="0"/>
          <w:sz w:val="32"/>
          <w:szCs w:val="32"/>
        </w:rPr>
        <w:t>数字技术与现代农业全面融合的推进策略研究</w:t>
      </w:r>
      <w:bookmarkStart w:id="0" w:name="_GoBack"/>
      <w:bookmarkEnd w:id="0"/>
    </w:p>
    <w:sectPr w:rsidR="0083598E" w:rsidRPr="00700C24" w:rsidSect="00700C24">
      <w:footerReference w:type="even" r:id="rId6"/>
      <w:pgSz w:w="11906" w:h="16838"/>
      <w:pgMar w:top="1440" w:right="1800" w:bottom="1440" w:left="1800" w:header="851" w:footer="992" w:gutter="0"/>
      <w:pgNumType w:start="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7C7CE" w14:textId="77777777" w:rsidR="00803023" w:rsidRDefault="00803023">
      <w:r>
        <w:separator/>
      </w:r>
    </w:p>
  </w:endnote>
  <w:endnote w:type="continuationSeparator" w:id="0">
    <w:p w14:paraId="39B7A6CB" w14:textId="77777777" w:rsidR="00803023" w:rsidRDefault="00803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方正小标宋_GBK">
    <w:charset w:val="86"/>
    <w:family w:val="script"/>
    <w:pitch w:val="fixed"/>
    <w:sig w:usb0="00000001" w:usb1="080E0000" w:usb2="00000010" w:usb3="00000000" w:csb0="00040000" w:csb1="00000000"/>
  </w:font>
  <w:font w:name="仿宋_GB2312">
    <w:charset w:val="86"/>
    <w:family w:val="modern"/>
    <w:pitch w:val="fixed"/>
    <w:sig w:usb0="00000001" w:usb1="080E0000" w:usb2="00000010" w:usb3="00000000" w:csb0="00040000"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8771B" w14:textId="77777777" w:rsidR="0083598E" w:rsidRDefault="00A5400A">
    <w:pPr>
      <w:pStyle w:val="a7"/>
      <w:framePr w:wrap="around" w:vAnchor="text" w:hAnchor="margin" w:xAlign="center" w:y="1"/>
      <w:rPr>
        <w:rStyle w:val="ad"/>
      </w:rPr>
    </w:pPr>
    <w:r>
      <w:fldChar w:fldCharType="begin"/>
    </w:r>
    <w:r>
      <w:rPr>
        <w:rStyle w:val="ad"/>
      </w:rPr>
      <w:instrText xml:space="preserve">PAGE  </w:instrText>
    </w:r>
    <w:r>
      <w:fldChar w:fldCharType="end"/>
    </w:r>
  </w:p>
  <w:p w14:paraId="7C9E1A20" w14:textId="77777777" w:rsidR="0083598E" w:rsidRDefault="0083598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F8326" w14:textId="77777777" w:rsidR="00803023" w:rsidRDefault="00803023">
      <w:r>
        <w:separator/>
      </w:r>
    </w:p>
  </w:footnote>
  <w:footnote w:type="continuationSeparator" w:id="0">
    <w:p w14:paraId="1A73601D" w14:textId="77777777" w:rsidR="00803023" w:rsidRDefault="008030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CC7"/>
    <w:rsid w:val="000C3B03"/>
    <w:rsid w:val="00107D43"/>
    <w:rsid w:val="00171332"/>
    <w:rsid w:val="00216173"/>
    <w:rsid w:val="00255075"/>
    <w:rsid w:val="00317AE2"/>
    <w:rsid w:val="00350A4F"/>
    <w:rsid w:val="003A7BC5"/>
    <w:rsid w:val="00406F7E"/>
    <w:rsid w:val="00432CC7"/>
    <w:rsid w:val="00440B88"/>
    <w:rsid w:val="006220B8"/>
    <w:rsid w:val="00631FE2"/>
    <w:rsid w:val="00646A70"/>
    <w:rsid w:val="00700C24"/>
    <w:rsid w:val="007766E6"/>
    <w:rsid w:val="00803023"/>
    <w:rsid w:val="00815D5C"/>
    <w:rsid w:val="0083598E"/>
    <w:rsid w:val="00981484"/>
    <w:rsid w:val="009D65D9"/>
    <w:rsid w:val="00A40DF7"/>
    <w:rsid w:val="00A5400A"/>
    <w:rsid w:val="00A83176"/>
    <w:rsid w:val="00BD1A24"/>
    <w:rsid w:val="00D10308"/>
    <w:rsid w:val="00D81097"/>
    <w:rsid w:val="00EA3F28"/>
    <w:rsid w:val="00EB6CA7"/>
    <w:rsid w:val="04B11640"/>
    <w:rsid w:val="0AF31DA3"/>
    <w:rsid w:val="0B50371D"/>
    <w:rsid w:val="11145A76"/>
    <w:rsid w:val="173739A8"/>
    <w:rsid w:val="4B95421D"/>
    <w:rsid w:val="4E9407BC"/>
    <w:rsid w:val="688431F8"/>
    <w:rsid w:val="6AD419DB"/>
    <w:rsid w:val="6B6E34E0"/>
    <w:rsid w:val="6FA81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F35FF"/>
  <w15:docId w15:val="{6545B2D7-09EF-412E-AC2A-08341E9C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pPr>
      <w:tabs>
        <w:tab w:val="center" w:pos="4153"/>
        <w:tab w:val="right" w:pos="8306"/>
      </w:tabs>
      <w:snapToGrid w:val="0"/>
      <w:jc w:val="left"/>
    </w:pPr>
    <w:rPr>
      <w:rFonts w:ascii="Times New Roman" w:eastAsia="宋体" w:hAnsi="Times New Roman" w:cs="Times New Roman"/>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page number"/>
    <w:qFormat/>
  </w:style>
  <w:style w:type="character" w:styleId="ae">
    <w:name w:val="annotation reference"/>
    <w:basedOn w:val="a0"/>
    <w:uiPriority w:val="99"/>
    <w:semiHidden/>
    <w:unhideWhenUsed/>
    <w:qFormat/>
    <w:rPr>
      <w:sz w:val="21"/>
      <w:szCs w:val="21"/>
    </w:rPr>
  </w:style>
  <w:style w:type="character" w:customStyle="1" w:styleId="a8">
    <w:name w:val="页脚 字符"/>
    <w:basedOn w:val="a0"/>
    <w:link w:val="a7"/>
    <w:qFormat/>
    <w:rPr>
      <w:rFonts w:ascii="Times New Roman" w:eastAsia="宋体" w:hAnsi="Times New Roman" w:cs="Times New Roman"/>
      <w:sz w:val="18"/>
      <w:szCs w:val="18"/>
    </w:rPr>
  </w:style>
  <w:style w:type="character" w:customStyle="1" w:styleId="aa">
    <w:name w:val="页眉 字符"/>
    <w:basedOn w:val="a0"/>
    <w:link w:val="a9"/>
    <w:uiPriority w:val="99"/>
    <w:rPr>
      <w:sz w:val="18"/>
      <w:szCs w:val="18"/>
    </w:rPr>
  </w:style>
  <w:style w:type="character" w:customStyle="1" w:styleId="a6">
    <w:name w:val="批注框文本 字符"/>
    <w:basedOn w:val="a0"/>
    <w:link w:val="a5"/>
    <w:uiPriority w:val="99"/>
    <w:semiHidden/>
    <w:rPr>
      <w:sz w:val="18"/>
      <w:szCs w:val="18"/>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2</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2026-09-14T08:30:00Z</cp:lastPrinted>
  <dcterms:created xsi:type="dcterms:W3CDTF">2026-09-07T02:50:00Z</dcterms:created>
  <dcterms:modified xsi:type="dcterms:W3CDTF">2026-09-14T08:56:00Z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eyJoZGlkIjoiOTI4Yzk4N2UzNmZiNjQzZmYxZWIzOTNjODQxMzk2NDMiLCJ1c2VySWQiOiIxNjY3OTAwNTg3In0=</vt:lpwstr>
  </property>
  <property fmtid="{D5CDD505-2E9C-101B-9397-08002B2CF9AE}" pid="3" name="KSOProductBuildVer">
    <vt:lpwstr>2052-12.1.0.23542</vt:lpwstr>
  </property>
  <property fmtid="{D5CDD505-2E9C-101B-9397-08002B2CF9AE}" pid="4" name="ICV">
    <vt:lpwstr>37D3DA44D10347A2B0BF0A18D21C72FF_13</vt:lpwstr>
  </property>
</Properties>
</file>