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D49E">
      <w:pPr>
        <w:jc w:val="center"/>
        <w:rPr>
          <w:rFonts w:ascii="华文中宋" w:hAnsi="华文中宋" w:eastAsia="华文中宋"/>
          <w:sz w:val="36"/>
          <w:szCs w:val="36"/>
        </w:rPr>
      </w:pPr>
      <w:bookmarkStart w:id="0" w:name="_GoBack"/>
      <w:bookmarkEnd w:id="0"/>
      <w:r>
        <w:rPr>
          <w:rFonts w:hint="eastAsia" w:ascii="华文中宋" w:hAnsi="华文中宋" w:eastAsia="华文中宋"/>
          <w:sz w:val="36"/>
          <w:szCs w:val="36"/>
        </w:rPr>
        <w:t>中国科协青年人才托举工程博士生专项计划管理办法（试行）</w:t>
      </w:r>
    </w:p>
    <w:p w14:paraId="7A190676">
      <w:pPr>
        <w:jc w:val="center"/>
        <w:rPr>
          <w:rFonts w:hint="eastAsia" w:ascii="华文中宋" w:hAnsi="华文中宋" w:eastAsia="华文中宋"/>
          <w:sz w:val="36"/>
          <w:szCs w:val="36"/>
        </w:rPr>
      </w:pPr>
    </w:p>
    <w:p w14:paraId="40FAC4F8">
      <w:pPr>
        <w:jc w:val="center"/>
        <w:rPr>
          <w:rFonts w:ascii="黑体" w:hAnsi="黑体" w:eastAsia="黑体"/>
          <w:sz w:val="32"/>
          <w:szCs w:val="32"/>
        </w:rPr>
      </w:pPr>
      <w:r>
        <w:rPr>
          <w:rFonts w:hint="eastAsia" w:ascii="黑体" w:hAnsi="黑体" w:eastAsia="黑体"/>
          <w:sz w:val="32"/>
          <w:szCs w:val="32"/>
        </w:rPr>
        <w:t xml:space="preserve">第一章 </w:t>
      </w:r>
      <w:r>
        <w:rPr>
          <w:rFonts w:ascii="Calibri" w:hAnsi="Calibri" w:eastAsia="黑体" w:cs="Calibri"/>
          <w:sz w:val="32"/>
          <w:szCs w:val="32"/>
        </w:rPr>
        <w:t> </w:t>
      </w:r>
      <w:r>
        <w:rPr>
          <w:rFonts w:hint="eastAsia" w:ascii="黑体" w:hAnsi="黑体" w:eastAsia="黑体"/>
          <w:sz w:val="32"/>
          <w:szCs w:val="32"/>
        </w:rPr>
        <w:t xml:space="preserve">总 </w:t>
      </w:r>
      <w:r>
        <w:rPr>
          <w:rFonts w:ascii="Calibri" w:hAnsi="Calibri" w:eastAsia="黑体" w:cs="Calibri"/>
          <w:sz w:val="32"/>
          <w:szCs w:val="32"/>
        </w:rPr>
        <w:t> </w:t>
      </w:r>
      <w:r>
        <w:rPr>
          <w:rFonts w:hint="eastAsia" w:ascii="黑体" w:hAnsi="黑体" w:eastAsia="黑体"/>
          <w:sz w:val="32"/>
          <w:szCs w:val="32"/>
        </w:rPr>
        <w:t>则</w:t>
      </w:r>
    </w:p>
    <w:p w14:paraId="6F632520">
      <w:pPr>
        <w:rPr>
          <w:rFonts w:hint="eastAsia" w:ascii="仿宋" w:hAnsi="仿宋" w:eastAsia="仿宋"/>
          <w:sz w:val="32"/>
          <w:szCs w:val="32"/>
        </w:rPr>
      </w:pPr>
      <w:r>
        <w:rPr>
          <w:rFonts w:hint="eastAsia" w:ascii="仿宋" w:hAnsi="仿宋" w:eastAsia="仿宋"/>
          <w:sz w:val="32"/>
          <w:szCs w:val="32"/>
        </w:rPr>
        <w:t>第一条 为规范中国科协青年人才托举工程博士生专项计划（以下简称本计划）的管理和实施，根据《中国科协财政项目管理办法（修订）》及相关法律法规，制定本办法。</w:t>
      </w:r>
    </w:p>
    <w:p w14:paraId="49941DF5">
      <w:pPr>
        <w:rPr>
          <w:rFonts w:hint="eastAsia" w:ascii="仿宋" w:hAnsi="仿宋" w:eastAsia="仿宋"/>
          <w:sz w:val="32"/>
          <w:szCs w:val="32"/>
        </w:rPr>
      </w:pPr>
      <w:r>
        <w:rPr>
          <w:rFonts w:hint="eastAsia" w:ascii="仿宋" w:hAnsi="仿宋" w:eastAsia="仿宋"/>
          <w:sz w:val="32"/>
          <w:szCs w:val="32"/>
        </w:rPr>
        <w:t>第二条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p>
    <w:p w14:paraId="524E180B">
      <w:pPr>
        <w:rPr>
          <w:rFonts w:hint="eastAsia" w:ascii="仿宋" w:hAnsi="仿宋" w:eastAsia="仿宋"/>
          <w:sz w:val="32"/>
          <w:szCs w:val="32"/>
        </w:rPr>
      </w:pPr>
      <w:r>
        <w:rPr>
          <w:rFonts w:hint="eastAsia" w:ascii="仿宋" w:hAnsi="仿宋" w:eastAsia="仿宋"/>
          <w:sz w:val="32"/>
          <w:szCs w:val="32"/>
        </w:rPr>
        <w:t>第三条</w:t>
      </w:r>
      <w:r>
        <w:rPr>
          <w:rFonts w:ascii="Calibri" w:hAnsi="Calibri" w:eastAsia="仿宋" w:cs="Calibri"/>
          <w:sz w:val="32"/>
          <w:szCs w:val="32"/>
        </w:rPr>
        <w:t> </w:t>
      </w:r>
      <w:r>
        <w:rPr>
          <w:rFonts w:hint="eastAsia" w:ascii="仿宋" w:hAnsi="仿宋" w:eastAsia="仿宋"/>
          <w:sz w:val="32"/>
          <w:szCs w:val="32"/>
        </w:rPr>
        <w:t>本计划的实施主体包括中国科协，中国科协所属全国学会、协会、研究会（以下简称全国学会），省、自治区、直辖市及新疆生产建设兵团科协（以下简称省级科协）和高等学校科协（以下简称高校科协）。</w:t>
      </w:r>
    </w:p>
    <w:p w14:paraId="18FD483F">
      <w:pPr>
        <w:rPr>
          <w:rFonts w:hint="eastAsia" w:ascii="仿宋" w:hAnsi="仿宋" w:eastAsia="仿宋"/>
          <w:sz w:val="32"/>
          <w:szCs w:val="32"/>
        </w:rPr>
      </w:pPr>
      <w:r>
        <w:rPr>
          <w:rFonts w:hint="eastAsia" w:ascii="仿宋" w:hAnsi="仿宋" w:eastAsia="仿宋"/>
          <w:sz w:val="32"/>
          <w:szCs w:val="32"/>
        </w:rPr>
        <w:t>第四条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47C96217">
      <w:pPr>
        <w:rPr>
          <w:rFonts w:hint="eastAsia" w:ascii="仿宋" w:hAnsi="仿宋" w:eastAsia="仿宋"/>
          <w:sz w:val="32"/>
          <w:szCs w:val="32"/>
        </w:rPr>
      </w:pPr>
      <w:r>
        <w:rPr>
          <w:rFonts w:hint="eastAsia" w:ascii="仿宋" w:hAnsi="仿宋" w:eastAsia="仿宋"/>
          <w:sz w:val="32"/>
          <w:szCs w:val="32"/>
        </w:rPr>
        <w:t>第五条</w:t>
      </w:r>
      <w:r>
        <w:rPr>
          <w:rFonts w:ascii="Calibri" w:hAnsi="Calibri" w:eastAsia="仿宋" w:cs="Calibri"/>
          <w:sz w:val="32"/>
          <w:szCs w:val="32"/>
        </w:rPr>
        <w:t> </w:t>
      </w:r>
      <w:r>
        <w:rPr>
          <w:rFonts w:hint="eastAsia" w:ascii="仿宋" w:hAnsi="仿宋" w:eastAsia="仿宋"/>
          <w:sz w:val="32"/>
          <w:szCs w:val="32"/>
        </w:rPr>
        <w:t>本计划主要采取基层推荐、组织审定、定向资助、综合支持的方式进行，一般每年开展一次。</w:t>
      </w:r>
    </w:p>
    <w:p w14:paraId="13C4F7F5">
      <w:pPr>
        <w:jc w:val="center"/>
        <w:rPr>
          <w:rFonts w:hint="eastAsia" w:ascii="黑体" w:hAnsi="黑体" w:eastAsia="黑体"/>
          <w:sz w:val="32"/>
          <w:szCs w:val="32"/>
        </w:rPr>
      </w:pPr>
      <w:r>
        <w:rPr>
          <w:rFonts w:hint="eastAsia" w:ascii="黑体" w:hAnsi="黑体" w:eastAsia="黑体"/>
          <w:sz w:val="32"/>
          <w:szCs w:val="32"/>
        </w:rPr>
        <w:t xml:space="preserve">第二章 </w:t>
      </w:r>
      <w:r>
        <w:rPr>
          <w:rFonts w:ascii="Calibri" w:hAnsi="Calibri" w:eastAsia="黑体" w:cs="Calibri"/>
          <w:sz w:val="32"/>
          <w:szCs w:val="32"/>
        </w:rPr>
        <w:t> </w:t>
      </w:r>
      <w:r>
        <w:rPr>
          <w:rFonts w:hint="eastAsia" w:ascii="黑体" w:hAnsi="黑体" w:eastAsia="黑体"/>
          <w:sz w:val="32"/>
          <w:szCs w:val="32"/>
        </w:rPr>
        <w:t>支持对象和遴选条件</w:t>
      </w:r>
    </w:p>
    <w:p w14:paraId="06691F31">
      <w:pPr>
        <w:rPr>
          <w:rFonts w:hint="eastAsia" w:ascii="仿宋" w:hAnsi="仿宋" w:eastAsia="仿宋"/>
          <w:sz w:val="32"/>
          <w:szCs w:val="32"/>
        </w:rPr>
      </w:pPr>
      <w:r>
        <w:rPr>
          <w:rFonts w:hint="eastAsia" w:ascii="仿宋" w:hAnsi="仿宋" w:eastAsia="仿宋"/>
          <w:sz w:val="32"/>
          <w:szCs w:val="32"/>
        </w:rPr>
        <w:t>第六条 本计划支持对象为学籍关系在中华人民共和国境内的全日制高年级（二年级及以上）在读博士研究生。</w:t>
      </w:r>
    </w:p>
    <w:p w14:paraId="09DE3C39">
      <w:pPr>
        <w:rPr>
          <w:rFonts w:hint="eastAsia" w:ascii="仿宋" w:hAnsi="仿宋" w:eastAsia="仿宋"/>
          <w:sz w:val="32"/>
          <w:szCs w:val="32"/>
        </w:rPr>
      </w:pPr>
      <w:r>
        <w:rPr>
          <w:rFonts w:hint="eastAsia" w:ascii="仿宋" w:hAnsi="仿宋" w:eastAsia="仿宋"/>
          <w:sz w:val="32"/>
          <w:szCs w:val="32"/>
        </w:rPr>
        <w:t>第七条</w:t>
      </w:r>
      <w:r>
        <w:rPr>
          <w:rFonts w:ascii="Calibri" w:hAnsi="Calibri" w:eastAsia="仿宋" w:cs="Calibri"/>
          <w:sz w:val="32"/>
          <w:szCs w:val="32"/>
        </w:rPr>
        <w:t> </w:t>
      </w:r>
      <w:r>
        <w:rPr>
          <w:rFonts w:hint="eastAsia" w:ascii="仿宋" w:hAnsi="仿宋" w:eastAsia="仿宋"/>
          <w:sz w:val="32"/>
          <w:szCs w:val="32"/>
        </w:rPr>
        <w:t>本计划支持对象的托举期不超过2年。</w:t>
      </w:r>
    </w:p>
    <w:p w14:paraId="2DB90AA2">
      <w:pPr>
        <w:rPr>
          <w:rFonts w:hint="eastAsia" w:ascii="仿宋" w:hAnsi="仿宋" w:eastAsia="仿宋"/>
          <w:sz w:val="32"/>
          <w:szCs w:val="32"/>
        </w:rPr>
      </w:pPr>
      <w:r>
        <w:rPr>
          <w:rFonts w:hint="eastAsia" w:ascii="仿宋" w:hAnsi="仿宋" w:eastAsia="仿宋"/>
          <w:sz w:val="32"/>
          <w:szCs w:val="32"/>
        </w:rPr>
        <w:t>第八条 本计划支持对象的遴选条件包括：</w:t>
      </w:r>
    </w:p>
    <w:p w14:paraId="2ED9BDF9">
      <w:pPr>
        <w:rPr>
          <w:rFonts w:hint="eastAsia" w:ascii="仿宋" w:hAnsi="仿宋" w:eastAsia="仿宋"/>
          <w:sz w:val="32"/>
          <w:szCs w:val="32"/>
        </w:rPr>
      </w:pPr>
      <w:r>
        <w:rPr>
          <w:rFonts w:hint="eastAsia" w:ascii="仿宋" w:hAnsi="仿宋" w:eastAsia="仿宋"/>
          <w:sz w:val="32"/>
          <w:szCs w:val="32"/>
        </w:rPr>
        <w:t>（一）热爱祖国、遵纪守法、具有良好的政治素质；</w:t>
      </w:r>
    </w:p>
    <w:p w14:paraId="7259BA1E">
      <w:pPr>
        <w:rPr>
          <w:rFonts w:hint="eastAsia" w:ascii="仿宋" w:hAnsi="仿宋" w:eastAsia="仿宋"/>
          <w:sz w:val="32"/>
          <w:szCs w:val="32"/>
        </w:rPr>
      </w:pPr>
      <w:r>
        <w:rPr>
          <w:rFonts w:hint="eastAsia" w:ascii="仿宋" w:hAnsi="仿宋" w:eastAsia="仿宋"/>
          <w:sz w:val="32"/>
          <w:szCs w:val="32"/>
        </w:rPr>
        <w:t>（二）勤奋学习、刻苦钻研，具有良好的学风和道德，无学术不端行为；</w:t>
      </w:r>
    </w:p>
    <w:p w14:paraId="774607BB">
      <w:pPr>
        <w:rPr>
          <w:rFonts w:hint="eastAsia" w:ascii="仿宋" w:hAnsi="仿宋" w:eastAsia="仿宋"/>
          <w:sz w:val="32"/>
          <w:szCs w:val="32"/>
        </w:rPr>
      </w:pPr>
      <w:r>
        <w:rPr>
          <w:rFonts w:hint="eastAsia" w:ascii="仿宋" w:hAnsi="仿宋" w:eastAsia="仿宋"/>
          <w:sz w:val="32"/>
          <w:szCs w:val="32"/>
        </w:rPr>
        <w:t>（三）具有中国国籍、年龄不超过30周岁（按申请年8月31日实足年龄计算）；</w:t>
      </w:r>
    </w:p>
    <w:p w14:paraId="54A3946F">
      <w:pPr>
        <w:rPr>
          <w:rFonts w:hint="eastAsia" w:ascii="仿宋" w:hAnsi="仿宋" w:eastAsia="仿宋"/>
          <w:sz w:val="32"/>
          <w:szCs w:val="32"/>
        </w:rPr>
      </w:pPr>
      <w:r>
        <w:rPr>
          <w:rFonts w:hint="eastAsia" w:ascii="仿宋" w:hAnsi="仿宋" w:eastAsia="仿宋"/>
          <w:sz w:val="32"/>
          <w:szCs w:val="32"/>
        </w:rPr>
        <w:t>（四）博士与硕士阶段的科研方向具有一定延续性、相关性或学科交叉性，博士所学专业属于理学、工学、农学和医学等学科门类，且有志于长期从事科技工作；</w:t>
      </w:r>
    </w:p>
    <w:p w14:paraId="228237C6">
      <w:pPr>
        <w:rPr>
          <w:rFonts w:hint="eastAsia" w:ascii="仿宋" w:hAnsi="仿宋" w:eastAsia="仿宋"/>
          <w:sz w:val="32"/>
          <w:szCs w:val="32"/>
        </w:rPr>
      </w:pPr>
      <w:r>
        <w:rPr>
          <w:rFonts w:hint="eastAsia" w:ascii="仿宋" w:hAnsi="仿宋" w:eastAsia="仿宋"/>
          <w:sz w:val="32"/>
          <w:szCs w:val="32"/>
        </w:rPr>
        <w:t>（五）立足国家需求、产业趋势、产业链供应链关键环节，聚焦国家重大战略领域、重点领域和薄弱环节，瞄准战略性新兴产业和未来产业开展科研攻关；</w:t>
      </w:r>
    </w:p>
    <w:p w14:paraId="78A26B69">
      <w:pPr>
        <w:rPr>
          <w:rFonts w:hint="eastAsia" w:ascii="仿宋" w:hAnsi="仿宋" w:eastAsia="仿宋"/>
          <w:sz w:val="32"/>
          <w:szCs w:val="32"/>
        </w:rPr>
      </w:pPr>
      <w:r>
        <w:rPr>
          <w:rFonts w:hint="eastAsia" w:ascii="仿宋" w:hAnsi="仿宋" w:eastAsia="仿宋"/>
          <w:sz w:val="32"/>
          <w:szCs w:val="32"/>
        </w:rPr>
        <w:t>（六）同等条件下，省级优秀硕士学位论文获得者或研究生阶段（含硕士、硕博连读、直博、普博）国家级奖学金获得者优先推荐；</w:t>
      </w:r>
    </w:p>
    <w:p w14:paraId="09FF9C1A">
      <w:pPr>
        <w:rPr>
          <w:rFonts w:hint="eastAsia" w:ascii="仿宋" w:hAnsi="仿宋" w:eastAsia="仿宋"/>
          <w:sz w:val="32"/>
          <w:szCs w:val="32"/>
        </w:rPr>
      </w:pPr>
      <w:r>
        <w:rPr>
          <w:rFonts w:hint="eastAsia" w:ascii="仿宋" w:hAnsi="仿宋" w:eastAsia="仿宋"/>
          <w:sz w:val="32"/>
          <w:szCs w:val="32"/>
        </w:rPr>
        <w:t>（七）同等条件下，曾在本领域高水平期刊上以第一作者（含共同第一作者）发表论文，或作为第一发明人获得国家发明专利授权，或获得省部级及以上科技奖励（排名前三）的优先推荐。</w:t>
      </w:r>
    </w:p>
    <w:p w14:paraId="2E1435C9">
      <w:pPr>
        <w:jc w:val="center"/>
        <w:rPr>
          <w:rFonts w:hint="eastAsia" w:ascii="黑体" w:hAnsi="黑体" w:eastAsia="黑体"/>
          <w:sz w:val="32"/>
          <w:szCs w:val="32"/>
        </w:rPr>
      </w:pPr>
      <w:r>
        <w:rPr>
          <w:rFonts w:hint="eastAsia" w:ascii="黑体" w:hAnsi="黑体" w:eastAsia="黑体"/>
          <w:sz w:val="32"/>
          <w:szCs w:val="32"/>
        </w:rPr>
        <w:t xml:space="preserve">第三章 </w:t>
      </w:r>
      <w:r>
        <w:rPr>
          <w:rFonts w:ascii="Calibri" w:hAnsi="Calibri" w:eastAsia="黑体" w:cs="Calibri"/>
          <w:sz w:val="32"/>
          <w:szCs w:val="32"/>
        </w:rPr>
        <w:t> </w:t>
      </w:r>
      <w:r>
        <w:rPr>
          <w:rFonts w:hint="eastAsia" w:ascii="黑体" w:hAnsi="黑体" w:eastAsia="黑体"/>
          <w:sz w:val="32"/>
          <w:szCs w:val="32"/>
        </w:rPr>
        <w:t>工作程序</w:t>
      </w:r>
    </w:p>
    <w:p w14:paraId="58603D87">
      <w:pPr>
        <w:rPr>
          <w:rFonts w:hint="eastAsia" w:ascii="仿宋" w:hAnsi="仿宋" w:eastAsia="仿宋"/>
          <w:sz w:val="32"/>
          <w:szCs w:val="32"/>
        </w:rPr>
      </w:pPr>
      <w:r>
        <w:rPr>
          <w:rFonts w:hint="eastAsia" w:ascii="仿宋" w:hAnsi="仿宋" w:eastAsia="仿宋"/>
          <w:sz w:val="32"/>
          <w:szCs w:val="32"/>
        </w:rPr>
        <w:t>第九条</w:t>
      </w:r>
      <w:r>
        <w:rPr>
          <w:rFonts w:ascii="Calibri" w:hAnsi="Calibri" w:eastAsia="仿宋" w:cs="Calibri"/>
          <w:sz w:val="32"/>
          <w:szCs w:val="32"/>
        </w:rPr>
        <w:t> </w:t>
      </w:r>
      <w:r>
        <w:rPr>
          <w:rFonts w:hint="eastAsia" w:ascii="仿宋" w:hAnsi="仿宋" w:eastAsia="仿宋"/>
          <w:sz w:val="32"/>
          <w:szCs w:val="32"/>
        </w:rPr>
        <w:t>中国科协统一部署本计划支持对象的推荐工作，确定托举名额及相关工作安排，汇总省级科协上报的推荐名单并协调匹配负责托举服务的全国学会，结合全国学会意见确定最终入选者名单。</w:t>
      </w:r>
    </w:p>
    <w:p w14:paraId="7F255841">
      <w:pPr>
        <w:rPr>
          <w:rFonts w:hint="eastAsia" w:ascii="仿宋" w:hAnsi="仿宋" w:eastAsia="仿宋"/>
          <w:sz w:val="32"/>
          <w:szCs w:val="32"/>
        </w:rPr>
      </w:pPr>
      <w:r>
        <w:rPr>
          <w:rFonts w:hint="eastAsia" w:ascii="仿宋" w:hAnsi="仿宋" w:eastAsia="仿宋"/>
          <w:sz w:val="32"/>
          <w:szCs w:val="32"/>
        </w:rPr>
        <w:t>第十条</w:t>
      </w:r>
      <w:r>
        <w:rPr>
          <w:rFonts w:ascii="Calibri" w:hAnsi="Calibri" w:eastAsia="仿宋" w:cs="Calibri"/>
          <w:sz w:val="32"/>
          <w:szCs w:val="32"/>
        </w:rPr>
        <w:t> </w:t>
      </w:r>
      <w:r>
        <w:rPr>
          <w:rFonts w:hint="eastAsia" w:ascii="仿宋" w:hAnsi="仿宋" w:eastAsia="仿宋"/>
          <w:sz w:val="32"/>
          <w:szCs w:val="32"/>
        </w:rPr>
        <w:t>省级科协按照属地管理原则，组织本地区高校科协开展推荐工作，汇总推荐候选人并根据遴选条件复审，结合实际统筹学科结构，确定推荐名单上报中国科协。</w:t>
      </w:r>
    </w:p>
    <w:p w14:paraId="56B7AB40">
      <w:pPr>
        <w:rPr>
          <w:rFonts w:hint="eastAsia" w:ascii="仿宋" w:hAnsi="仿宋" w:eastAsia="仿宋"/>
          <w:sz w:val="32"/>
          <w:szCs w:val="32"/>
        </w:rPr>
      </w:pPr>
      <w:r>
        <w:rPr>
          <w:rFonts w:hint="eastAsia" w:ascii="仿宋" w:hAnsi="仿宋" w:eastAsia="仿宋"/>
          <w:sz w:val="32"/>
          <w:szCs w:val="32"/>
        </w:rPr>
        <w:t>省级科协可根据实际工作开展情况，设置候选人自荐通道，按照遴选条件严格把关，自荐名额不超过推荐名额的30%。</w:t>
      </w:r>
    </w:p>
    <w:p w14:paraId="5F3196FB">
      <w:pPr>
        <w:rPr>
          <w:rFonts w:hint="eastAsia" w:ascii="仿宋" w:hAnsi="仿宋" w:eastAsia="仿宋"/>
          <w:sz w:val="32"/>
          <w:szCs w:val="32"/>
        </w:rPr>
      </w:pPr>
      <w:r>
        <w:rPr>
          <w:rFonts w:hint="eastAsia" w:ascii="仿宋" w:hAnsi="仿宋" w:eastAsia="仿宋"/>
          <w:sz w:val="32"/>
          <w:szCs w:val="32"/>
        </w:rPr>
        <w:t>第十一条</w:t>
      </w:r>
      <w:r>
        <w:rPr>
          <w:rFonts w:ascii="Calibri" w:hAnsi="Calibri" w:eastAsia="仿宋" w:cs="Calibri"/>
          <w:sz w:val="32"/>
          <w:szCs w:val="32"/>
        </w:rPr>
        <w:t> </w:t>
      </w:r>
      <w:r>
        <w:rPr>
          <w:rFonts w:hint="eastAsia" w:ascii="仿宋" w:hAnsi="仿宋" w:eastAsia="仿宋"/>
          <w:sz w:val="32"/>
          <w:szCs w:val="32"/>
        </w:rPr>
        <w:t>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0C7A0822">
      <w:pPr>
        <w:rPr>
          <w:rFonts w:hint="eastAsia" w:ascii="仿宋" w:hAnsi="仿宋" w:eastAsia="仿宋"/>
          <w:sz w:val="32"/>
          <w:szCs w:val="32"/>
        </w:rPr>
      </w:pPr>
      <w:r>
        <w:rPr>
          <w:rFonts w:hint="eastAsia" w:ascii="仿宋" w:hAnsi="仿宋" w:eastAsia="仿宋"/>
          <w:sz w:val="32"/>
          <w:szCs w:val="32"/>
        </w:rPr>
        <w:t>第十二条</w:t>
      </w:r>
      <w:r>
        <w:rPr>
          <w:rFonts w:ascii="Calibri" w:hAnsi="Calibri" w:eastAsia="仿宋" w:cs="Calibri"/>
          <w:sz w:val="32"/>
          <w:szCs w:val="32"/>
        </w:rPr>
        <w:t> </w:t>
      </w:r>
      <w:r>
        <w:rPr>
          <w:rFonts w:hint="eastAsia" w:ascii="仿宋" w:hAnsi="仿宋" w:eastAsia="仿宋"/>
          <w:sz w:val="32"/>
          <w:szCs w:val="32"/>
        </w:rPr>
        <w:t>全国学会对协调匹配的推荐候选人进行确认，提出拟托举人员名单，报中国科协审定。</w:t>
      </w:r>
    </w:p>
    <w:p w14:paraId="4096B7E0">
      <w:pPr>
        <w:jc w:val="center"/>
        <w:rPr>
          <w:rFonts w:hint="eastAsia" w:ascii="黑体" w:hAnsi="黑体" w:eastAsia="黑体"/>
          <w:sz w:val="32"/>
          <w:szCs w:val="32"/>
        </w:rPr>
      </w:pPr>
      <w:r>
        <w:rPr>
          <w:rFonts w:hint="eastAsia" w:ascii="黑体" w:hAnsi="黑体" w:eastAsia="黑体"/>
          <w:sz w:val="32"/>
          <w:szCs w:val="32"/>
        </w:rPr>
        <w:t xml:space="preserve">第四章 </w:t>
      </w:r>
      <w:r>
        <w:rPr>
          <w:rFonts w:ascii="Calibri" w:hAnsi="Calibri" w:eastAsia="黑体" w:cs="Calibri"/>
          <w:sz w:val="32"/>
          <w:szCs w:val="32"/>
        </w:rPr>
        <w:t> </w:t>
      </w:r>
      <w:r>
        <w:rPr>
          <w:rFonts w:hint="eastAsia" w:ascii="黑体" w:hAnsi="黑体" w:eastAsia="黑体"/>
          <w:sz w:val="32"/>
          <w:szCs w:val="32"/>
        </w:rPr>
        <w:t>托举服务内容和资助方式</w:t>
      </w:r>
    </w:p>
    <w:p w14:paraId="7118D6B4">
      <w:pPr>
        <w:rPr>
          <w:rFonts w:hint="eastAsia" w:ascii="仿宋" w:hAnsi="仿宋" w:eastAsia="仿宋"/>
          <w:sz w:val="32"/>
          <w:szCs w:val="32"/>
        </w:rPr>
      </w:pPr>
      <w:r>
        <w:rPr>
          <w:rFonts w:hint="eastAsia" w:ascii="仿宋" w:hAnsi="仿宋" w:eastAsia="仿宋"/>
          <w:sz w:val="32"/>
          <w:szCs w:val="32"/>
        </w:rPr>
        <w:t>第十三条 本计划为入选者提供组织吸纳、学术兼职和学术资助三方面托举服务。</w:t>
      </w:r>
    </w:p>
    <w:p w14:paraId="60F1986C">
      <w:pPr>
        <w:rPr>
          <w:rFonts w:hint="eastAsia" w:ascii="仿宋" w:hAnsi="仿宋" w:eastAsia="仿宋"/>
          <w:sz w:val="32"/>
          <w:szCs w:val="32"/>
        </w:rPr>
      </w:pPr>
      <w:r>
        <w:rPr>
          <w:rFonts w:hint="eastAsia" w:ascii="仿宋" w:hAnsi="仿宋" w:eastAsia="仿宋"/>
          <w:sz w:val="32"/>
          <w:szCs w:val="32"/>
        </w:rPr>
        <w:t>全国学会充分发挥全国性学术组织作用，依托人才荟聚、学术资源丰富的优势，通过组织吸纳、学术兼职等方式为入选者提供高质量托举服务。鼓励省级科协、高校科协依托自身优势自主开展托举服务。</w:t>
      </w:r>
    </w:p>
    <w:p w14:paraId="2F7149C4">
      <w:pPr>
        <w:rPr>
          <w:rFonts w:hint="eastAsia" w:ascii="仿宋" w:hAnsi="仿宋" w:eastAsia="仿宋"/>
          <w:sz w:val="32"/>
          <w:szCs w:val="32"/>
        </w:rPr>
      </w:pPr>
      <w:r>
        <w:rPr>
          <w:rFonts w:hint="eastAsia" w:ascii="仿宋" w:hAnsi="仿宋" w:eastAsia="仿宋"/>
          <w:sz w:val="32"/>
          <w:szCs w:val="32"/>
        </w:rPr>
        <w:t>第十四条</w:t>
      </w:r>
      <w:r>
        <w:rPr>
          <w:rFonts w:ascii="Calibri" w:hAnsi="Calibri" w:eastAsia="仿宋" w:cs="Calibri"/>
          <w:sz w:val="32"/>
          <w:szCs w:val="32"/>
        </w:rPr>
        <w:t> </w:t>
      </w:r>
      <w:r>
        <w:rPr>
          <w:rFonts w:hint="eastAsia" w:ascii="仿宋" w:hAnsi="仿宋" w:eastAsia="仿宋"/>
          <w:sz w:val="32"/>
          <w:szCs w:val="32"/>
        </w:rPr>
        <w:t>本计划所称“组织吸纳”包括：</w:t>
      </w:r>
    </w:p>
    <w:p w14:paraId="2827B893">
      <w:pPr>
        <w:rPr>
          <w:rFonts w:hint="eastAsia" w:ascii="仿宋" w:hAnsi="仿宋" w:eastAsia="仿宋"/>
          <w:sz w:val="32"/>
          <w:szCs w:val="32"/>
        </w:rPr>
      </w:pPr>
      <w:r>
        <w:rPr>
          <w:rFonts w:hint="eastAsia" w:ascii="仿宋" w:hAnsi="仿宋" w:eastAsia="仿宋"/>
          <w:sz w:val="32"/>
          <w:szCs w:val="32"/>
        </w:rPr>
        <w:t>（一）入选者托举期内免费成为托举全国学会的学生会员；</w:t>
      </w:r>
    </w:p>
    <w:p w14:paraId="16E0A71D">
      <w:pPr>
        <w:rPr>
          <w:rFonts w:hint="eastAsia" w:ascii="仿宋" w:hAnsi="仿宋" w:eastAsia="仿宋"/>
          <w:sz w:val="32"/>
          <w:szCs w:val="32"/>
        </w:rPr>
      </w:pPr>
      <w:r>
        <w:rPr>
          <w:rFonts w:hint="eastAsia" w:ascii="仿宋" w:hAnsi="仿宋" w:eastAsia="仿宋"/>
          <w:sz w:val="32"/>
          <w:szCs w:val="32"/>
        </w:rPr>
        <w:t>（二）表现优秀的入选者可优先进入托举全国学会的相关专门委员会。</w:t>
      </w:r>
    </w:p>
    <w:p w14:paraId="4377B07E">
      <w:pPr>
        <w:rPr>
          <w:rFonts w:hint="eastAsia" w:ascii="仿宋" w:hAnsi="仿宋" w:eastAsia="仿宋"/>
          <w:sz w:val="32"/>
          <w:szCs w:val="32"/>
        </w:rPr>
      </w:pPr>
      <w:r>
        <w:rPr>
          <w:rFonts w:hint="eastAsia" w:ascii="仿宋" w:hAnsi="仿宋" w:eastAsia="仿宋"/>
          <w:sz w:val="32"/>
          <w:szCs w:val="32"/>
        </w:rPr>
        <w:t>第十五条 本计划所称“学术兼职”包括：</w:t>
      </w:r>
    </w:p>
    <w:p w14:paraId="61BAAB03">
      <w:pPr>
        <w:rPr>
          <w:rFonts w:hint="eastAsia" w:ascii="仿宋" w:hAnsi="仿宋" w:eastAsia="仿宋"/>
          <w:sz w:val="32"/>
          <w:szCs w:val="32"/>
        </w:rPr>
      </w:pPr>
      <w:r>
        <w:rPr>
          <w:rFonts w:hint="eastAsia" w:ascii="仿宋" w:hAnsi="仿宋" w:eastAsia="仿宋"/>
          <w:sz w:val="32"/>
          <w:szCs w:val="32"/>
        </w:rPr>
        <w:t>（一）入选者在高水平学术会议、国内外学术组织担任兼职助理岗位；</w:t>
      </w:r>
    </w:p>
    <w:p w14:paraId="513F78BE">
      <w:pPr>
        <w:rPr>
          <w:rFonts w:hint="eastAsia" w:ascii="仿宋" w:hAnsi="仿宋" w:eastAsia="仿宋"/>
          <w:sz w:val="32"/>
          <w:szCs w:val="32"/>
        </w:rPr>
      </w:pPr>
      <w:r>
        <w:rPr>
          <w:rFonts w:hint="eastAsia" w:ascii="仿宋" w:hAnsi="仿宋" w:eastAsia="仿宋"/>
          <w:sz w:val="32"/>
          <w:szCs w:val="32"/>
        </w:rPr>
        <w:t>（二）入选者在学术期刊担任兼职编辑助理岗位。</w:t>
      </w:r>
    </w:p>
    <w:p w14:paraId="0B07E506">
      <w:pPr>
        <w:rPr>
          <w:rFonts w:hint="eastAsia" w:ascii="仿宋" w:hAnsi="仿宋" w:eastAsia="仿宋"/>
          <w:sz w:val="32"/>
          <w:szCs w:val="32"/>
        </w:rPr>
      </w:pPr>
      <w:r>
        <w:rPr>
          <w:rFonts w:hint="eastAsia" w:ascii="仿宋" w:hAnsi="仿宋" w:eastAsia="仿宋"/>
          <w:sz w:val="32"/>
          <w:szCs w:val="32"/>
        </w:rPr>
        <w:t>第十六条</w:t>
      </w:r>
      <w:r>
        <w:rPr>
          <w:rFonts w:ascii="Calibri" w:hAnsi="Calibri" w:eastAsia="仿宋" w:cs="Calibri"/>
          <w:sz w:val="32"/>
          <w:szCs w:val="32"/>
        </w:rPr>
        <w:t> </w:t>
      </w:r>
      <w:r>
        <w:rPr>
          <w:rFonts w:hint="eastAsia" w:ascii="仿宋" w:hAnsi="仿宋" w:eastAsia="仿宋"/>
          <w:sz w:val="32"/>
          <w:szCs w:val="32"/>
        </w:rPr>
        <w:t>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p>
    <w:p w14:paraId="48E9BC0B">
      <w:pPr>
        <w:rPr>
          <w:rFonts w:hint="eastAsia" w:ascii="仿宋" w:hAnsi="仿宋" w:eastAsia="仿宋"/>
          <w:sz w:val="32"/>
          <w:szCs w:val="32"/>
        </w:rPr>
      </w:pPr>
      <w:r>
        <w:rPr>
          <w:rFonts w:hint="eastAsia" w:ascii="仿宋" w:hAnsi="仿宋" w:eastAsia="仿宋"/>
          <w:sz w:val="32"/>
          <w:szCs w:val="32"/>
        </w:rPr>
        <w:t>（一）参加高水平学术会议的资助标准：对参加全国学会举办的重要学术会议进行资助，每参加1场国（境）外学术会议定额资助人民币1万元，每参加1场国（境）内学术会议定额资助人民币0.5万元。</w:t>
      </w:r>
    </w:p>
    <w:p w14:paraId="49DFD9EC">
      <w:pPr>
        <w:rPr>
          <w:rFonts w:hint="eastAsia" w:ascii="仿宋" w:hAnsi="仿宋" w:eastAsia="仿宋"/>
          <w:sz w:val="32"/>
          <w:szCs w:val="32"/>
        </w:rPr>
      </w:pPr>
      <w:r>
        <w:rPr>
          <w:rFonts w:hint="eastAsia" w:ascii="仿宋" w:hAnsi="仿宋" w:eastAsia="仿宋"/>
          <w:sz w:val="32"/>
          <w:szCs w:val="32"/>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2BB80A1A">
      <w:pPr>
        <w:rPr>
          <w:rFonts w:hint="eastAsia" w:ascii="仿宋" w:hAnsi="仿宋" w:eastAsia="仿宋"/>
          <w:sz w:val="32"/>
          <w:szCs w:val="32"/>
        </w:rPr>
      </w:pPr>
      <w:r>
        <w:rPr>
          <w:rFonts w:hint="eastAsia" w:ascii="仿宋" w:hAnsi="仿宋" w:eastAsia="仿宋"/>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4E685957">
      <w:pPr>
        <w:jc w:val="center"/>
        <w:rPr>
          <w:rFonts w:hint="eastAsia" w:ascii="黑体" w:hAnsi="黑体" w:eastAsia="黑体"/>
          <w:sz w:val="32"/>
          <w:szCs w:val="32"/>
        </w:rPr>
      </w:pPr>
      <w:r>
        <w:rPr>
          <w:rFonts w:hint="eastAsia" w:ascii="黑体" w:hAnsi="黑体" w:eastAsia="黑体"/>
          <w:sz w:val="32"/>
          <w:szCs w:val="32"/>
        </w:rPr>
        <w:t xml:space="preserve">第五章 </w:t>
      </w:r>
      <w:r>
        <w:rPr>
          <w:rFonts w:ascii="Calibri" w:hAnsi="Calibri" w:eastAsia="黑体" w:cs="Calibri"/>
          <w:sz w:val="32"/>
          <w:szCs w:val="32"/>
        </w:rPr>
        <w:t> </w:t>
      </w:r>
      <w:r>
        <w:rPr>
          <w:rFonts w:hint="eastAsia" w:ascii="黑体" w:hAnsi="黑体" w:eastAsia="黑体"/>
          <w:sz w:val="32"/>
          <w:szCs w:val="32"/>
        </w:rPr>
        <w:t>资金来源及管理</w:t>
      </w:r>
    </w:p>
    <w:p w14:paraId="14384CE7">
      <w:pPr>
        <w:rPr>
          <w:rFonts w:hint="eastAsia" w:ascii="仿宋" w:hAnsi="仿宋" w:eastAsia="仿宋"/>
          <w:sz w:val="32"/>
          <w:szCs w:val="32"/>
        </w:rPr>
      </w:pPr>
      <w:r>
        <w:rPr>
          <w:rFonts w:hint="eastAsia" w:ascii="仿宋" w:hAnsi="仿宋" w:eastAsia="仿宋"/>
          <w:sz w:val="32"/>
          <w:szCs w:val="32"/>
        </w:rPr>
        <w:t>第十七条 本计划的支持资金分为财政资金和社会资金两类。财政资金按照《中国科协财政项目管理办法（修订）》进行管理；社会资金由中国科技发展基金会负责向社会公众筹集并管理。</w:t>
      </w:r>
    </w:p>
    <w:p w14:paraId="4EEAFBC8">
      <w:pPr>
        <w:rPr>
          <w:rFonts w:hint="eastAsia" w:ascii="仿宋" w:hAnsi="仿宋" w:eastAsia="仿宋"/>
          <w:sz w:val="32"/>
          <w:szCs w:val="32"/>
        </w:rPr>
      </w:pPr>
      <w:r>
        <w:rPr>
          <w:rFonts w:hint="eastAsia" w:ascii="仿宋" w:hAnsi="仿宋" w:eastAsia="仿宋"/>
          <w:sz w:val="32"/>
          <w:szCs w:val="32"/>
        </w:rPr>
        <w:t>第十八条</w:t>
      </w:r>
      <w:r>
        <w:rPr>
          <w:rFonts w:ascii="Calibri" w:hAnsi="Calibri" w:eastAsia="仿宋" w:cs="Calibri"/>
          <w:sz w:val="32"/>
          <w:szCs w:val="32"/>
        </w:rPr>
        <w:t> </w:t>
      </w:r>
      <w:r>
        <w:rPr>
          <w:rFonts w:hint="eastAsia" w:ascii="仿宋" w:hAnsi="仿宋" w:eastAsia="仿宋"/>
          <w:sz w:val="32"/>
          <w:szCs w:val="32"/>
        </w:rPr>
        <w:t>中国科技发展基金会依照《中华人民共和国慈善法》《中华人民共和国公益事业捐赠法》《基金会管理条例》等法律法规和《中国科技发展基金会章程》等制度机制，对社会筹集资金进行严格、规范管理。</w:t>
      </w:r>
    </w:p>
    <w:p w14:paraId="27C9F489">
      <w:pPr>
        <w:rPr>
          <w:rFonts w:hint="eastAsia" w:ascii="仿宋" w:hAnsi="仿宋" w:eastAsia="仿宋"/>
          <w:sz w:val="32"/>
          <w:szCs w:val="32"/>
        </w:rPr>
      </w:pPr>
      <w:r>
        <w:rPr>
          <w:rFonts w:hint="eastAsia" w:ascii="仿宋" w:hAnsi="仿宋" w:eastAsia="仿宋"/>
          <w:sz w:val="32"/>
          <w:szCs w:val="32"/>
        </w:rPr>
        <w:t>第十九条 本计划的支持资金实行专款专用。</w:t>
      </w:r>
    </w:p>
    <w:p w14:paraId="09B6ED30">
      <w:pPr>
        <w:jc w:val="center"/>
        <w:rPr>
          <w:rFonts w:hint="eastAsia" w:ascii="黑体" w:hAnsi="黑体" w:eastAsia="黑体"/>
          <w:sz w:val="32"/>
          <w:szCs w:val="32"/>
        </w:rPr>
      </w:pPr>
      <w:r>
        <w:rPr>
          <w:rFonts w:hint="eastAsia" w:ascii="黑体" w:hAnsi="黑体" w:eastAsia="黑体"/>
          <w:sz w:val="32"/>
          <w:szCs w:val="32"/>
        </w:rPr>
        <w:t xml:space="preserve">第六章 </w:t>
      </w:r>
      <w:r>
        <w:rPr>
          <w:rFonts w:ascii="Calibri" w:hAnsi="Calibri" w:eastAsia="黑体" w:cs="Calibri"/>
          <w:sz w:val="32"/>
          <w:szCs w:val="32"/>
        </w:rPr>
        <w:t> </w:t>
      </w:r>
      <w:r>
        <w:rPr>
          <w:rFonts w:hint="eastAsia" w:ascii="黑体" w:hAnsi="黑体" w:eastAsia="黑体"/>
          <w:sz w:val="32"/>
          <w:szCs w:val="32"/>
        </w:rPr>
        <w:t>主体责任</w:t>
      </w:r>
    </w:p>
    <w:p w14:paraId="49B5ED81">
      <w:pPr>
        <w:rPr>
          <w:rFonts w:hint="eastAsia" w:ascii="仿宋" w:hAnsi="仿宋" w:eastAsia="仿宋"/>
          <w:sz w:val="32"/>
          <w:szCs w:val="32"/>
        </w:rPr>
      </w:pPr>
      <w:r>
        <w:rPr>
          <w:rFonts w:hint="eastAsia" w:ascii="仿宋" w:hAnsi="仿宋" w:eastAsia="仿宋"/>
          <w:sz w:val="32"/>
          <w:szCs w:val="32"/>
        </w:rPr>
        <w:t>第二十条</w:t>
      </w:r>
      <w:r>
        <w:rPr>
          <w:rFonts w:ascii="Calibri" w:hAnsi="Calibri" w:eastAsia="仿宋" w:cs="Calibri"/>
          <w:sz w:val="32"/>
          <w:szCs w:val="32"/>
        </w:rPr>
        <w:t> </w:t>
      </w:r>
      <w:r>
        <w:rPr>
          <w:rFonts w:hint="eastAsia" w:ascii="仿宋" w:hAnsi="仿宋" w:eastAsia="仿宋"/>
          <w:sz w:val="32"/>
          <w:szCs w:val="32"/>
        </w:rPr>
        <w:t>参与本计划的入选者应当承担以下责任：</w:t>
      </w:r>
    </w:p>
    <w:p w14:paraId="63654800">
      <w:pPr>
        <w:rPr>
          <w:rFonts w:hint="eastAsia" w:ascii="仿宋" w:hAnsi="仿宋" w:eastAsia="仿宋"/>
          <w:sz w:val="32"/>
          <w:szCs w:val="32"/>
        </w:rPr>
      </w:pPr>
      <w:r>
        <w:rPr>
          <w:rFonts w:hint="eastAsia" w:ascii="仿宋" w:hAnsi="仿宋" w:eastAsia="仿宋"/>
          <w:sz w:val="32"/>
          <w:szCs w:val="32"/>
        </w:rPr>
        <w:t>（一）积极参加中国科协年会、世界青年科学家峰会、世界科技与发展论坛、世界公众科学素质促进大会等重大活动；</w:t>
      </w:r>
    </w:p>
    <w:p w14:paraId="3F88158C">
      <w:pPr>
        <w:rPr>
          <w:rFonts w:hint="eastAsia" w:ascii="仿宋" w:hAnsi="仿宋" w:eastAsia="仿宋"/>
          <w:sz w:val="32"/>
          <w:szCs w:val="32"/>
        </w:rPr>
      </w:pPr>
      <w:r>
        <w:rPr>
          <w:rFonts w:hint="eastAsia" w:ascii="仿宋" w:hAnsi="仿宋" w:eastAsia="仿宋"/>
          <w:sz w:val="32"/>
          <w:szCs w:val="32"/>
        </w:rPr>
        <w:t>（二）积极参加全国学会组织的学术沙龙、产学研合作对接、建言献策研讨、科普宣讲等各类学术会议、论坛、活动，积极开展面向公众的科学普及、志愿服务等工作；</w:t>
      </w:r>
    </w:p>
    <w:p w14:paraId="62AF64C3">
      <w:pPr>
        <w:rPr>
          <w:rFonts w:hint="eastAsia" w:ascii="仿宋" w:hAnsi="仿宋" w:eastAsia="仿宋"/>
          <w:sz w:val="32"/>
          <w:szCs w:val="32"/>
        </w:rPr>
      </w:pPr>
      <w:r>
        <w:rPr>
          <w:rFonts w:hint="eastAsia" w:ascii="仿宋" w:hAnsi="仿宋" w:eastAsia="仿宋"/>
          <w:sz w:val="32"/>
          <w:szCs w:val="32"/>
        </w:rPr>
        <w:t>（三）托举期内，在中国青年科技论坛上作报告不少于1次；</w:t>
      </w:r>
    </w:p>
    <w:p w14:paraId="7DB982EC">
      <w:pPr>
        <w:rPr>
          <w:rFonts w:hint="eastAsia" w:ascii="仿宋" w:hAnsi="仿宋" w:eastAsia="仿宋"/>
          <w:sz w:val="32"/>
          <w:szCs w:val="32"/>
        </w:rPr>
      </w:pPr>
      <w:r>
        <w:rPr>
          <w:rFonts w:hint="eastAsia" w:ascii="仿宋" w:hAnsi="仿宋" w:eastAsia="仿宋"/>
          <w:sz w:val="32"/>
          <w:szCs w:val="32"/>
        </w:rPr>
        <w:t>（四）托举期满后提交个人学术成长总结报告，对托举期内自身学术能力提升、学术视野拓展、学术成果突破等进行深入总结；</w:t>
      </w:r>
    </w:p>
    <w:p w14:paraId="50E0A220">
      <w:pPr>
        <w:rPr>
          <w:rFonts w:hint="eastAsia" w:ascii="仿宋" w:hAnsi="仿宋" w:eastAsia="仿宋"/>
          <w:sz w:val="32"/>
          <w:szCs w:val="32"/>
        </w:rPr>
      </w:pPr>
      <w:r>
        <w:rPr>
          <w:rFonts w:hint="eastAsia" w:ascii="仿宋" w:hAnsi="仿宋" w:eastAsia="仿宋"/>
          <w:sz w:val="32"/>
          <w:szCs w:val="32"/>
        </w:rPr>
        <w:t>（五）托举期满后申请加入全国学会，成为全国学会会员；</w:t>
      </w:r>
    </w:p>
    <w:p w14:paraId="54B89258">
      <w:pPr>
        <w:rPr>
          <w:rFonts w:hint="eastAsia" w:ascii="仿宋" w:hAnsi="仿宋" w:eastAsia="仿宋"/>
          <w:sz w:val="32"/>
          <w:szCs w:val="32"/>
        </w:rPr>
      </w:pPr>
      <w:r>
        <w:rPr>
          <w:rFonts w:hint="eastAsia" w:ascii="仿宋" w:hAnsi="仿宋" w:eastAsia="仿宋"/>
          <w:sz w:val="32"/>
          <w:szCs w:val="32"/>
        </w:rPr>
        <w:t>（六）积极回馈社会，有能力时主动帮助其他有需要的青年科技工作者。</w:t>
      </w:r>
    </w:p>
    <w:p w14:paraId="47D32950">
      <w:pPr>
        <w:rPr>
          <w:rFonts w:hint="eastAsia" w:ascii="仿宋" w:hAnsi="仿宋" w:eastAsia="仿宋"/>
          <w:sz w:val="32"/>
          <w:szCs w:val="32"/>
        </w:rPr>
      </w:pPr>
      <w:r>
        <w:rPr>
          <w:rFonts w:hint="eastAsia" w:ascii="仿宋" w:hAnsi="仿宋" w:eastAsia="仿宋"/>
          <w:sz w:val="32"/>
          <w:szCs w:val="32"/>
        </w:rPr>
        <w:t>第二十一条 参与本计划的高校科协应当承担以下责任：</w:t>
      </w:r>
    </w:p>
    <w:p w14:paraId="0AE4B8C2">
      <w:pPr>
        <w:rPr>
          <w:rFonts w:hint="eastAsia" w:ascii="仿宋" w:hAnsi="仿宋" w:eastAsia="仿宋"/>
          <w:sz w:val="32"/>
          <w:szCs w:val="32"/>
        </w:rPr>
      </w:pPr>
      <w:r>
        <w:rPr>
          <w:rFonts w:hint="eastAsia" w:ascii="仿宋" w:hAnsi="仿宋" w:eastAsia="仿宋"/>
          <w:sz w:val="32"/>
          <w:szCs w:val="32"/>
        </w:rPr>
        <w:t>（一）在本院校公布本计划信息，广泛宣传科协组织面向青年科技人才的相关服务；</w:t>
      </w:r>
    </w:p>
    <w:p w14:paraId="0390A407">
      <w:pPr>
        <w:rPr>
          <w:rFonts w:hint="eastAsia" w:ascii="仿宋" w:hAnsi="仿宋" w:eastAsia="仿宋"/>
          <w:sz w:val="32"/>
          <w:szCs w:val="32"/>
        </w:rPr>
      </w:pPr>
      <w:r>
        <w:rPr>
          <w:rFonts w:hint="eastAsia" w:ascii="仿宋" w:hAnsi="仿宋" w:eastAsia="仿宋"/>
          <w:sz w:val="32"/>
          <w:szCs w:val="32"/>
        </w:rPr>
        <w:t>（二）按要求完成候选人的推荐工作，负责对候选人的申请条件进行审核；</w:t>
      </w:r>
    </w:p>
    <w:p w14:paraId="5EF140D6">
      <w:pPr>
        <w:rPr>
          <w:rFonts w:hint="eastAsia" w:ascii="仿宋" w:hAnsi="仿宋" w:eastAsia="仿宋"/>
          <w:sz w:val="32"/>
          <w:szCs w:val="32"/>
        </w:rPr>
      </w:pPr>
      <w:r>
        <w:rPr>
          <w:rFonts w:hint="eastAsia" w:ascii="仿宋" w:hAnsi="仿宋" w:eastAsia="仿宋"/>
          <w:sz w:val="32"/>
          <w:szCs w:val="32"/>
        </w:rPr>
        <w:t>（三）认真做好日常管理，面向入选者开展联系服务工作，定期跟踪了解入选者学术成长情况，按要求记录入选者开展学术交流、获得学术培养、取得学术成果等学术成长信息；</w:t>
      </w:r>
    </w:p>
    <w:p w14:paraId="68513698">
      <w:pPr>
        <w:rPr>
          <w:rFonts w:hint="eastAsia" w:ascii="仿宋" w:hAnsi="仿宋" w:eastAsia="仿宋"/>
          <w:sz w:val="32"/>
          <w:szCs w:val="32"/>
        </w:rPr>
      </w:pPr>
      <w:r>
        <w:rPr>
          <w:rFonts w:hint="eastAsia" w:ascii="仿宋" w:hAnsi="仿宋" w:eastAsia="仿宋"/>
          <w:sz w:val="32"/>
          <w:szCs w:val="32"/>
        </w:rPr>
        <w:t>（四）为入选者提供相关托举服务，包括但不限于为入选者提供参加学术沙龙、产学研合作对接、建言献策研讨、科普宣讲等各类学术会议、论坛、活动的机会；</w:t>
      </w:r>
    </w:p>
    <w:p w14:paraId="0EA851CB">
      <w:pPr>
        <w:rPr>
          <w:rFonts w:hint="eastAsia" w:ascii="仿宋" w:hAnsi="仿宋" w:eastAsia="仿宋"/>
          <w:sz w:val="32"/>
          <w:szCs w:val="32"/>
        </w:rPr>
      </w:pPr>
      <w:r>
        <w:rPr>
          <w:rFonts w:hint="eastAsia" w:ascii="仿宋" w:hAnsi="仿宋" w:eastAsia="仿宋"/>
          <w:sz w:val="32"/>
          <w:szCs w:val="32"/>
        </w:rPr>
        <w:t>（五）督促入选者履行义务。</w:t>
      </w:r>
    </w:p>
    <w:p w14:paraId="6A5693CA">
      <w:pPr>
        <w:rPr>
          <w:rFonts w:hint="eastAsia" w:ascii="仿宋" w:hAnsi="仿宋" w:eastAsia="仿宋"/>
          <w:sz w:val="32"/>
          <w:szCs w:val="32"/>
        </w:rPr>
      </w:pPr>
      <w:r>
        <w:rPr>
          <w:rFonts w:hint="eastAsia" w:ascii="仿宋" w:hAnsi="仿宋" w:eastAsia="仿宋"/>
          <w:sz w:val="32"/>
          <w:szCs w:val="32"/>
        </w:rPr>
        <w:t>第二十二条 参与本计划的省级科协应当承担以下责任：</w:t>
      </w:r>
    </w:p>
    <w:p w14:paraId="16708B52">
      <w:pPr>
        <w:rPr>
          <w:rFonts w:hint="eastAsia" w:ascii="仿宋" w:hAnsi="仿宋" w:eastAsia="仿宋"/>
          <w:sz w:val="32"/>
          <w:szCs w:val="32"/>
        </w:rPr>
      </w:pPr>
      <w:r>
        <w:rPr>
          <w:rFonts w:hint="eastAsia" w:ascii="仿宋" w:hAnsi="仿宋" w:eastAsia="仿宋"/>
          <w:sz w:val="32"/>
          <w:szCs w:val="32"/>
        </w:rPr>
        <w:t>（一）根据本办法制定本地区青年人才托举工程博士生专项计划实施细则；</w:t>
      </w:r>
    </w:p>
    <w:p w14:paraId="769D8195">
      <w:pPr>
        <w:rPr>
          <w:rFonts w:hint="eastAsia" w:ascii="仿宋" w:hAnsi="仿宋" w:eastAsia="仿宋"/>
          <w:sz w:val="32"/>
          <w:szCs w:val="32"/>
        </w:rPr>
      </w:pPr>
      <w:r>
        <w:rPr>
          <w:rFonts w:hint="eastAsia" w:ascii="仿宋" w:hAnsi="仿宋" w:eastAsia="仿宋"/>
          <w:sz w:val="32"/>
          <w:szCs w:val="32"/>
        </w:rPr>
        <w:t>（二）落实好本地区高校科协推荐名额分配工作，做好复审、汇总上报等工作；</w:t>
      </w:r>
    </w:p>
    <w:p w14:paraId="13812532">
      <w:pPr>
        <w:rPr>
          <w:rFonts w:hint="eastAsia" w:ascii="仿宋" w:hAnsi="仿宋" w:eastAsia="仿宋"/>
          <w:sz w:val="32"/>
          <w:szCs w:val="32"/>
        </w:rPr>
      </w:pPr>
      <w:r>
        <w:rPr>
          <w:rFonts w:hint="eastAsia" w:ascii="仿宋" w:hAnsi="仿宋" w:eastAsia="仿宋"/>
          <w:sz w:val="32"/>
          <w:szCs w:val="32"/>
        </w:rPr>
        <w:t>（三）及时跟踪了解本地区入选者的学术成长信息；</w:t>
      </w:r>
    </w:p>
    <w:p w14:paraId="5C7CB093">
      <w:pPr>
        <w:rPr>
          <w:rFonts w:hint="eastAsia" w:ascii="仿宋" w:hAnsi="仿宋" w:eastAsia="仿宋"/>
          <w:sz w:val="32"/>
          <w:szCs w:val="32"/>
        </w:rPr>
      </w:pPr>
      <w:r>
        <w:rPr>
          <w:rFonts w:hint="eastAsia" w:ascii="仿宋" w:hAnsi="仿宋" w:eastAsia="仿宋"/>
          <w:sz w:val="32"/>
          <w:szCs w:val="32"/>
        </w:rPr>
        <w:t>（四）为入选者提供相关托举服务，包括但不限于为入选者提供参加学术沙龙、产学研合作对接、建言献策研讨、科普宣讲等各类学术会议、论坛、活动的机会。</w:t>
      </w:r>
    </w:p>
    <w:p w14:paraId="368EE732">
      <w:pPr>
        <w:rPr>
          <w:rFonts w:hint="eastAsia" w:ascii="仿宋" w:hAnsi="仿宋" w:eastAsia="仿宋"/>
          <w:sz w:val="32"/>
          <w:szCs w:val="32"/>
        </w:rPr>
      </w:pPr>
      <w:r>
        <w:rPr>
          <w:rFonts w:hint="eastAsia" w:ascii="仿宋" w:hAnsi="仿宋" w:eastAsia="仿宋"/>
          <w:sz w:val="32"/>
          <w:szCs w:val="32"/>
        </w:rPr>
        <w:t>第二十三条 参与本计划的全国学会应当承担以下责任：</w:t>
      </w:r>
    </w:p>
    <w:p w14:paraId="2348434E">
      <w:pPr>
        <w:rPr>
          <w:rFonts w:hint="eastAsia" w:ascii="仿宋" w:hAnsi="仿宋" w:eastAsia="仿宋"/>
          <w:sz w:val="32"/>
          <w:szCs w:val="32"/>
        </w:rPr>
      </w:pPr>
      <w:r>
        <w:rPr>
          <w:rFonts w:hint="eastAsia" w:ascii="仿宋" w:hAnsi="仿宋" w:eastAsia="仿宋"/>
          <w:sz w:val="32"/>
          <w:szCs w:val="32"/>
        </w:rPr>
        <w:t>（一）做好入选者托举服务相关管理工作，持续为入选者提供学术关怀、引导和托举相关服务；</w:t>
      </w:r>
    </w:p>
    <w:p w14:paraId="264ACE85">
      <w:pPr>
        <w:rPr>
          <w:rFonts w:hint="eastAsia" w:ascii="仿宋" w:hAnsi="仿宋" w:eastAsia="仿宋"/>
          <w:sz w:val="32"/>
          <w:szCs w:val="32"/>
        </w:rPr>
      </w:pPr>
      <w:r>
        <w:rPr>
          <w:rFonts w:hint="eastAsia" w:ascii="仿宋" w:hAnsi="仿宋" w:eastAsia="仿宋"/>
          <w:sz w:val="32"/>
          <w:szCs w:val="32"/>
        </w:rPr>
        <w:t>（二）为入选者提供托举期内免费入会通道；</w:t>
      </w:r>
    </w:p>
    <w:p w14:paraId="1EE18D39">
      <w:pPr>
        <w:rPr>
          <w:rFonts w:hint="eastAsia" w:ascii="仿宋" w:hAnsi="仿宋" w:eastAsia="仿宋"/>
          <w:sz w:val="32"/>
          <w:szCs w:val="32"/>
        </w:rPr>
      </w:pPr>
      <w:r>
        <w:rPr>
          <w:rFonts w:hint="eastAsia" w:ascii="仿宋" w:hAnsi="仿宋" w:eastAsia="仿宋"/>
          <w:sz w:val="32"/>
          <w:szCs w:val="32"/>
        </w:rPr>
        <w:t>（三）为入选者提供高水平学术会议、国内外学术组织的兼职助理岗位；</w:t>
      </w:r>
    </w:p>
    <w:p w14:paraId="4DF3936E">
      <w:pPr>
        <w:rPr>
          <w:rFonts w:hint="eastAsia" w:ascii="仿宋" w:hAnsi="仿宋" w:eastAsia="仿宋"/>
          <w:sz w:val="32"/>
          <w:szCs w:val="32"/>
        </w:rPr>
      </w:pPr>
      <w:r>
        <w:rPr>
          <w:rFonts w:hint="eastAsia" w:ascii="仿宋" w:hAnsi="仿宋" w:eastAsia="仿宋"/>
          <w:sz w:val="32"/>
          <w:szCs w:val="32"/>
        </w:rPr>
        <w:t>（四）为入选者提供学术期刊兼职编辑助理岗位；</w:t>
      </w:r>
    </w:p>
    <w:p w14:paraId="146BC6FE">
      <w:pPr>
        <w:rPr>
          <w:rFonts w:hint="eastAsia" w:ascii="仿宋" w:hAnsi="仿宋" w:eastAsia="仿宋"/>
          <w:sz w:val="32"/>
          <w:szCs w:val="32"/>
        </w:rPr>
      </w:pPr>
      <w:r>
        <w:rPr>
          <w:rFonts w:hint="eastAsia" w:ascii="仿宋" w:hAnsi="仿宋" w:eastAsia="仿宋"/>
          <w:sz w:val="32"/>
          <w:szCs w:val="32"/>
        </w:rPr>
        <w:t>（五）为入选者提供其他托举服务，包括但不限于为入选者提供参加学术沙龙、产学研合作对接、建言献策研讨、科普宣讲等各类学术会议、论坛、活动的机会。</w:t>
      </w:r>
    </w:p>
    <w:p w14:paraId="05BDC48F">
      <w:pPr>
        <w:rPr>
          <w:rFonts w:hint="eastAsia" w:ascii="仿宋" w:hAnsi="仿宋" w:eastAsia="仿宋"/>
          <w:sz w:val="32"/>
          <w:szCs w:val="32"/>
        </w:rPr>
      </w:pPr>
      <w:r>
        <w:rPr>
          <w:rFonts w:hint="eastAsia" w:ascii="仿宋" w:hAnsi="仿宋" w:eastAsia="仿宋"/>
          <w:sz w:val="32"/>
          <w:szCs w:val="32"/>
        </w:rPr>
        <w:t>第二十四条</w:t>
      </w:r>
      <w:r>
        <w:rPr>
          <w:rFonts w:ascii="Calibri" w:hAnsi="Calibri" w:eastAsia="仿宋" w:cs="Calibri"/>
          <w:sz w:val="32"/>
          <w:szCs w:val="32"/>
        </w:rPr>
        <w:t> </w:t>
      </w:r>
      <w:r>
        <w:rPr>
          <w:rFonts w:hint="eastAsia" w:ascii="仿宋" w:hAnsi="仿宋" w:eastAsia="仿宋"/>
          <w:sz w:val="32"/>
          <w:szCs w:val="32"/>
        </w:rPr>
        <w:t>中国科协相关管理部门及中国科技发展基金会应当承担以下责任：</w:t>
      </w:r>
    </w:p>
    <w:p w14:paraId="5C2A63F6">
      <w:pPr>
        <w:rPr>
          <w:rFonts w:hint="eastAsia" w:ascii="仿宋" w:hAnsi="仿宋" w:eastAsia="仿宋"/>
          <w:sz w:val="32"/>
          <w:szCs w:val="32"/>
        </w:rPr>
      </w:pPr>
      <w:r>
        <w:rPr>
          <w:rFonts w:hint="eastAsia" w:ascii="仿宋" w:hAnsi="仿宋" w:eastAsia="仿宋"/>
          <w:sz w:val="32"/>
          <w:szCs w:val="32"/>
        </w:rPr>
        <w:t>（一）具体负责本计划的总体设计、组织实施、资金管理和学术资助等工作；</w:t>
      </w:r>
    </w:p>
    <w:p w14:paraId="6149AF2E">
      <w:pPr>
        <w:rPr>
          <w:rFonts w:hint="eastAsia" w:ascii="仿宋" w:hAnsi="仿宋" w:eastAsia="仿宋"/>
          <w:sz w:val="32"/>
          <w:szCs w:val="32"/>
        </w:rPr>
      </w:pPr>
      <w:r>
        <w:rPr>
          <w:rFonts w:hint="eastAsia" w:ascii="仿宋" w:hAnsi="仿宋" w:eastAsia="仿宋"/>
          <w:sz w:val="32"/>
          <w:szCs w:val="32"/>
        </w:rPr>
        <w:t>（二）日常指导全国学会、省级科协、高校科协实施本计划；</w:t>
      </w:r>
    </w:p>
    <w:p w14:paraId="62D2573E">
      <w:pPr>
        <w:rPr>
          <w:rFonts w:hint="eastAsia" w:ascii="仿宋" w:hAnsi="仿宋" w:eastAsia="仿宋"/>
          <w:sz w:val="32"/>
          <w:szCs w:val="32"/>
        </w:rPr>
      </w:pPr>
      <w:r>
        <w:rPr>
          <w:rFonts w:hint="eastAsia" w:ascii="仿宋" w:hAnsi="仿宋" w:eastAsia="仿宋"/>
          <w:sz w:val="32"/>
          <w:szCs w:val="32"/>
        </w:rPr>
        <w:t>（三）按照学术资助范围，制定并公布全国学会举办的高水平学术会议清单、“中国科技期刊卓越行动计划”入选期刊和中国科协高质量科技期刊分级目录T1、T2区期刊列表；</w:t>
      </w:r>
    </w:p>
    <w:p w14:paraId="3A69D611">
      <w:pPr>
        <w:rPr>
          <w:rFonts w:hint="eastAsia" w:ascii="仿宋" w:hAnsi="仿宋" w:eastAsia="仿宋"/>
          <w:sz w:val="32"/>
          <w:szCs w:val="32"/>
        </w:rPr>
      </w:pPr>
      <w:r>
        <w:rPr>
          <w:rFonts w:hint="eastAsia" w:ascii="仿宋" w:hAnsi="仿宋" w:eastAsia="仿宋"/>
          <w:sz w:val="32"/>
          <w:szCs w:val="32"/>
        </w:rPr>
        <w:t>（四）按照资助标准，统一拨付学术资助经费至入选者导师团队的科研账户；</w:t>
      </w:r>
    </w:p>
    <w:p w14:paraId="09461D46">
      <w:pPr>
        <w:rPr>
          <w:rFonts w:hint="eastAsia" w:ascii="仿宋" w:hAnsi="仿宋" w:eastAsia="仿宋"/>
          <w:sz w:val="32"/>
          <w:szCs w:val="32"/>
        </w:rPr>
      </w:pPr>
      <w:r>
        <w:rPr>
          <w:rFonts w:hint="eastAsia" w:ascii="仿宋" w:hAnsi="仿宋" w:eastAsia="仿宋"/>
          <w:sz w:val="32"/>
          <w:szCs w:val="32"/>
        </w:rPr>
        <w:t>（五）筹集社会资助经费，建立社会资助经费财务管理与使用体系。</w:t>
      </w:r>
    </w:p>
    <w:p w14:paraId="61DDCAC3">
      <w:pPr>
        <w:jc w:val="center"/>
        <w:rPr>
          <w:rFonts w:hint="eastAsia" w:ascii="黑体" w:hAnsi="黑体" w:eastAsia="黑体"/>
          <w:sz w:val="32"/>
          <w:szCs w:val="32"/>
        </w:rPr>
      </w:pPr>
      <w:r>
        <w:rPr>
          <w:rFonts w:hint="eastAsia" w:ascii="黑体" w:hAnsi="黑体" w:eastAsia="黑体"/>
          <w:sz w:val="32"/>
          <w:szCs w:val="32"/>
        </w:rPr>
        <w:t xml:space="preserve">第七章 </w:t>
      </w:r>
      <w:r>
        <w:rPr>
          <w:rFonts w:ascii="Calibri" w:hAnsi="Calibri" w:eastAsia="黑体" w:cs="Calibri"/>
          <w:sz w:val="32"/>
          <w:szCs w:val="32"/>
        </w:rPr>
        <w:t> </w:t>
      </w:r>
      <w:r>
        <w:rPr>
          <w:rFonts w:hint="eastAsia" w:ascii="黑体" w:hAnsi="黑体" w:eastAsia="黑体"/>
          <w:sz w:val="32"/>
          <w:szCs w:val="32"/>
        </w:rPr>
        <w:t>管理与监督</w:t>
      </w:r>
    </w:p>
    <w:p w14:paraId="14B88DDC">
      <w:pPr>
        <w:rPr>
          <w:rFonts w:hint="eastAsia" w:ascii="仿宋" w:hAnsi="仿宋" w:eastAsia="仿宋"/>
          <w:sz w:val="32"/>
          <w:szCs w:val="32"/>
        </w:rPr>
      </w:pPr>
      <w:r>
        <w:rPr>
          <w:rFonts w:hint="eastAsia" w:ascii="仿宋" w:hAnsi="仿宋" w:eastAsia="仿宋"/>
          <w:sz w:val="32"/>
          <w:szCs w:val="32"/>
        </w:rPr>
        <w:t>第二十五条 推荐上报、审核管理。</w:t>
      </w:r>
    </w:p>
    <w:p w14:paraId="0726DD6F">
      <w:pPr>
        <w:rPr>
          <w:rFonts w:hint="eastAsia" w:ascii="仿宋" w:hAnsi="仿宋" w:eastAsia="仿宋"/>
          <w:sz w:val="32"/>
          <w:szCs w:val="32"/>
        </w:rPr>
      </w:pPr>
      <w:r>
        <w:rPr>
          <w:rFonts w:hint="eastAsia" w:ascii="仿宋" w:hAnsi="仿宋" w:eastAsia="仿宋"/>
          <w:sz w:val="32"/>
          <w:szCs w:val="32"/>
        </w:rP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p>
    <w:p w14:paraId="79099AC0">
      <w:pPr>
        <w:rPr>
          <w:rFonts w:hint="eastAsia" w:ascii="仿宋" w:hAnsi="仿宋" w:eastAsia="仿宋"/>
          <w:sz w:val="32"/>
          <w:szCs w:val="32"/>
        </w:rPr>
      </w:pPr>
      <w:r>
        <w:rPr>
          <w:rFonts w:hint="eastAsia" w:ascii="仿宋" w:hAnsi="仿宋" w:eastAsia="仿宋"/>
          <w:sz w:val="32"/>
          <w:szCs w:val="32"/>
        </w:rPr>
        <w:t>第二十六条</w:t>
      </w:r>
      <w:r>
        <w:rPr>
          <w:rFonts w:ascii="Calibri" w:hAnsi="Calibri" w:eastAsia="仿宋" w:cs="Calibri"/>
          <w:sz w:val="32"/>
          <w:szCs w:val="32"/>
        </w:rPr>
        <w:t> </w:t>
      </w:r>
      <w:r>
        <w:rPr>
          <w:rFonts w:hint="eastAsia" w:ascii="仿宋" w:hAnsi="仿宋" w:eastAsia="仿宋"/>
          <w:sz w:val="32"/>
          <w:szCs w:val="32"/>
        </w:rPr>
        <w:t>入选者在托举期间出现以下情形之一，终止托举服务：</w:t>
      </w:r>
    </w:p>
    <w:p w14:paraId="0082B722">
      <w:pPr>
        <w:rPr>
          <w:rFonts w:hint="eastAsia" w:ascii="仿宋" w:hAnsi="仿宋" w:eastAsia="仿宋"/>
          <w:sz w:val="32"/>
          <w:szCs w:val="32"/>
        </w:rPr>
      </w:pPr>
      <w:r>
        <w:rPr>
          <w:rFonts w:hint="eastAsia" w:ascii="仿宋" w:hAnsi="仿宋" w:eastAsia="仿宋"/>
          <w:sz w:val="32"/>
          <w:szCs w:val="32"/>
        </w:rPr>
        <w:t>（一）</w:t>
      </w:r>
      <w:r>
        <w:rPr>
          <w:rFonts w:ascii="Calibri" w:hAnsi="Calibri" w:eastAsia="仿宋" w:cs="Calibri"/>
          <w:sz w:val="32"/>
          <w:szCs w:val="32"/>
        </w:rPr>
        <w:t> </w:t>
      </w:r>
      <w:r>
        <w:rPr>
          <w:rFonts w:hint="eastAsia" w:ascii="仿宋" w:hAnsi="仿宋" w:eastAsia="仿宋"/>
          <w:sz w:val="32"/>
          <w:szCs w:val="32"/>
        </w:rPr>
        <w:t>毕业；</w:t>
      </w:r>
    </w:p>
    <w:p w14:paraId="31B83EBC">
      <w:pPr>
        <w:rPr>
          <w:rFonts w:hint="eastAsia" w:ascii="仿宋" w:hAnsi="仿宋" w:eastAsia="仿宋"/>
          <w:sz w:val="32"/>
          <w:szCs w:val="32"/>
        </w:rPr>
      </w:pPr>
      <w:r>
        <w:rPr>
          <w:rFonts w:hint="eastAsia" w:ascii="仿宋" w:hAnsi="仿宋" w:eastAsia="仿宋"/>
          <w:sz w:val="32"/>
          <w:szCs w:val="32"/>
        </w:rPr>
        <w:t>（二）</w:t>
      </w:r>
      <w:r>
        <w:rPr>
          <w:rFonts w:ascii="Calibri" w:hAnsi="Calibri" w:eastAsia="仿宋" w:cs="Calibri"/>
          <w:sz w:val="32"/>
          <w:szCs w:val="32"/>
        </w:rPr>
        <w:t> </w:t>
      </w:r>
      <w:r>
        <w:rPr>
          <w:rFonts w:hint="eastAsia" w:ascii="仿宋" w:hAnsi="仿宋" w:eastAsia="仿宋"/>
          <w:sz w:val="32"/>
          <w:szCs w:val="32"/>
        </w:rPr>
        <w:t>休学、退学；</w:t>
      </w:r>
    </w:p>
    <w:p w14:paraId="044B92A9">
      <w:pPr>
        <w:rPr>
          <w:rFonts w:hint="eastAsia" w:ascii="仿宋" w:hAnsi="仿宋" w:eastAsia="仿宋"/>
          <w:sz w:val="32"/>
          <w:szCs w:val="32"/>
        </w:rPr>
      </w:pPr>
      <w:r>
        <w:rPr>
          <w:rFonts w:hint="eastAsia" w:ascii="仿宋" w:hAnsi="仿宋" w:eastAsia="仿宋"/>
          <w:sz w:val="32"/>
          <w:szCs w:val="32"/>
        </w:rPr>
        <w:t>（三）经查实，存在学术造假、学术剽窃、学术侵权、不守科研伦理规范等学术不端行为；</w:t>
      </w:r>
    </w:p>
    <w:p w14:paraId="62460CA3">
      <w:pPr>
        <w:rPr>
          <w:rFonts w:hint="eastAsia" w:ascii="仿宋" w:hAnsi="仿宋" w:eastAsia="仿宋"/>
          <w:sz w:val="32"/>
          <w:szCs w:val="32"/>
        </w:rPr>
      </w:pPr>
      <w:r>
        <w:rPr>
          <w:rFonts w:hint="eastAsia" w:ascii="仿宋" w:hAnsi="仿宋" w:eastAsia="仿宋"/>
          <w:sz w:val="32"/>
          <w:szCs w:val="32"/>
        </w:rPr>
        <w:t>（四）有违法违纪行为，造成严重不良影响的；</w:t>
      </w:r>
    </w:p>
    <w:p w14:paraId="345FA3FE">
      <w:pPr>
        <w:rPr>
          <w:rFonts w:hint="eastAsia" w:ascii="仿宋" w:hAnsi="仿宋" w:eastAsia="仿宋"/>
          <w:sz w:val="32"/>
          <w:szCs w:val="32"/>
        </w:rPr>
      </w:pPr>
      <w:r>
        <w:rPr>
          <w:rFonts w:hint="eastAsia" w:ascii="仿宋" w:hAnsi="仿宋" w:eastAsia="仿宋"/>
          <w:sz w:val="32"/>
          <w:szCs w:val="32"/>
        </w:rPr>
        <w:t>（五）其他需要终止托举的原因。</w:t>
      </w:r>
    </w:p>
    <w:p w14:paraId="5423101A">
      <w:pPr>
        <w:rPr>
          <w:rFonts w:hint="eastAsia" w:ascii="仿宋" w:hAnsi="仿宋" w:eastAsia="仿宋"/>
          <w:sz w:val="32"/>
          <w:szCs w:val="32"/>
        </w:rPr>
      </w:pPr>
      <w:r>
        <w:rPr>
          <w:rFonts w:hint="eastAsia" w:ascii="仿宋" w:hAnsi="仿宋" w:eastAsia="仿宋"/>
          <w:sz w:val="32"/>
          <w:szCs w:val="32"/>
        </w:rPr>
        <w:t>第二十七条</w:t>
      </w:r>
      <w:r>
        <w:rPr>
          <w:rFonts w:ascii="Calibri" w:hAnsi="Calibri" w:eastAsia="仿宋" w:cs="Calibri"/>
          <w:sz w:val="32"/>
          <w:szCs w:val="32"/>
        </w:rPr>
        <w:t> </w:t>
      </w:r>
      <w:r>
        <w:rPr>
          <w:rFonts w:hint="eastAsia" w:ascii="仿宋" w:hAnsi="仿宋" w:eastAsia="仿宋"/>
          <w:sz w:val="32"/>
          <w:szCs w:val="32"/>
        </w:rPr>
        <w:t>托举期满，全国学会和高校科协对入选者成长情况进行评价；中国科协对全国学会托举成效和省级科协推选情况进行评价。</w:t>
      </w:r>
    </w:p>
    <w:p w14:paraId="602DA490">
      <w:pPr>
        <w:jc w:val="center"/>
        <w:rPr>
          <w:rFonts w:hint="eastAsia" w:ascii="黑体" w:hAnsi="黑体" w:eastAsia="黑体"/>
          <w:sz w:val="32"/>
          <w:szCs w:val="32"/>
        </w:rPr>
      </w:pPr>
      <w:r>
        <w:rPr>
          <w:rFonts w:hint="eastAsia" w:ascii="黑体" w:hAnsi="黑体" w:eastAsia="黑体"/>
          <w:sz w:val="32"/>
          <w:szCs w:val="32"/>
        </w:rPr>
        <w:t xml:space="preserve">第八章 </w:t>
      </w:r>
      <w:r>
        <w:rPr>
          <w:rFonts w:ascii="Calibri" w:hAnsi="Calibri" w:eastAsia="黑体" w:cs="Calibri"/>
          <w:sz w:val="32"/>
          <w:szCs w:val="32"/>
        </w:rPr>
        <w:t> </w:t>
      </w:r>
      <w:r>
        <w:rPr>
          <w:rFonts w:hint="eastAsia" w:ascii="黑体" w:hAnsi="黑体" w:eastAsia="黑体"/>
          <w:sz w:val="32"/>
          <w:szCs w:val="32"/>
        </w:rPr>
        <w:t xml:space="preserve">附 </w:t>
      </w:r>
      <w:r>
        <w:rPr>
          <w:rFonts w:ascii="Calibri" w:hAnsi="Calibri" w:eastAsia="黑体" w:cs="Calibri"/>
          <w:sz w:val="32"/>
          <w:szCs w:val="32"/>
        </w:rPr>
        <w:t> </w:t>
      </w:r>
      <w:r>
        <w:rPr>
          <w:rFonts w:hint="eastAsia" w:ascii="黑体" w:hAnsi="黑体" w:eastAsia="黑体"/>
          <w:sz w:val="32"/>
          <w:szCs w:val="32"/>
        </w:rPr>
        <w:t>则</w:t>
      </w:r>
    </w:p>
    <w:p w14:paraId="520F1076">
      <w:pPr>
        <w:rPr>
          <w:rFonts w:hint="eastAsia" w:ascii="仿宋" w:hAnsi="仿宋" w:eastAsia="仿宋"/>
          <w:sz w:val="32"/>
          <w:szCs w:val="32"/>
        </w:rPr>
      </w:pPr>
      <w:r>
        <w:rPr>
          <w:rFonts w:hint="eastAsia" w:ascii="仿宋" w:hAnsi="仿宋" w:eastAsia="仿宋"/>
          <w:sz w:val="32"/>
          <w:szCs w:val="32"/>
        </w:rPr>
        <w:t>第二十八条</w:t>
      </w:r>
      <w:r>
        <w:rPr>
          <w:rFonts w:ascii="Calibri" w:hAnsi="Calibri" w:eastAsia="仿宋" w:cs="Calibri"/>
          <w:sz w:val="32"/>
          <w:szCs w:val="32"/>
        </w:rPr>
        <w:t> </w:t>
      </w:r>
      <w:r>
        <w:rPr>
          <w:rFonts w:hint="eastAsia" w:ascii="仿宋" w:hAnsi="仿宋" w:eastAsia="仿宋"/>
          <w:sz w:val="32"/>
          <w:szCs w:val="32"/>
        </w:rPr>
        <w:t>本办法自印发之日起试行。</w:t>
      </w:r>
    </w:p>
    <w:p w14:paraId="26F76B24">
      <w:pPr>
        <w:rPr>
          <w:rFonts w:hint="eastAsia" w:ascii="仿宋" w:hAnsi="仿宋" w:eastAsia="仿宋"/>
          <w:sz w:val="32"/>
          <w:szCs w:val="32"/>
        </w:rPr>
      </w:pPr>
      <w:r>
        <w:rPr>
          <w:rFonts w:hint="eastAsia" w:ascii="仿宋" w:hAnsi="仿宋" w:eastAsia="仿宋"/>
          <w:sz w:val="32"/>
          <w:szCs w:val="32"/>
        </w:rPr>
        <w:t>第二十九条</w:t>
      </w:r>
      <w:r>
        <w:rPr>
          <w:rFonts w:ascii="Calibri" w:hAnsi="Calibri" w:eastAsia="仿宋" w:cs="Calibri"/>
          <w:sz w:val="32"/>
          <w:szCs w:val="32"/>
        </w:rPr>
        <w:t> </w:t>
      </w:r>
      <w:r>
        <w:rPr>
          <w:rFonts w:hint="eastAsia" w:ascii="仿宋" w:hAnsi="仿宋" w:eastAsia="仿宋"/>
          <w:sz w:val="32"/>
          <w:szCs w:val="32"/>
        </w:rPr>
        <w:t>本办法的解释权、修订权归中国科协组织人事部。</w:t>
      </w:r>
    </w:p>
    <w:p w14:paraId="013CB76E">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F1"/>
    <w:rsid w:val="00686DB7"/>
    <w:rsid w:val="009A4AF1"/>
    <w:rsid w:val="00B56AB8"/>
    <w:rsid w:val="00BD5471"/>
    <w:rsid w:val="00E27F73"/>
    <w:rsid w:val="00EE3D15"/>
    <w:rsid w:val="762E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3933</Words>
  <Characters>3953</Characters>
  <Lines>29</Lines>
  <Paragraphs>8</Paragraphs>
  <TotalTime>6</TotalTime>
  <ScaleCrop>false</ScaleCrop>
  <LinksUpToDate>false</LinksUpToDate>
  <CharactersWithSpaces>4004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2025-11-02T01:56:00Z</dcterms:created>
  <dc:creator>Maverick Lei</dc:creator>
  <cp:lastModifiedBy>WPS_1646047015</cp:lastModifiedBy>
  <dcterms:modified xsi:type="dcterms:W3CDTF">2025-11-03T05:53:01Z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5AE9EE89986041388D3D097AF2C05F13_13</vt:lpwstr>
  </property>
</Properties>
</file>